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9601" w14:textId="77777777" w:rsidR="00597B71" w:rsidRPr="00514EFA" w:rsidRDefault="00597B71" w:rsidP="00597B71">
      <w:pPr>
        <w:framePr w:w="4820" w:h="1820" w:hRule="exact" w:wrap="notBeside" w:vAnchor="page" w:hAnchor="page" w:x="1411" w:y="3611" w:anchorLock="1"/>
        <w:rPr>
          <w:rFonts w:ascii="Arial" w:hAnsi="Arial" w:cs="Arial"/>
          <w:sz w:val="22"/>
          <w:szCs w:val="22"/>
          <w:lang w:val="en-GB"/>
        </w:rPr>
      </w:pPr>
      <w:r>
        <w:rPr>
          <w:rFonts w:ascii="Arial" w:hAnsi="Arial" w:cs="Arial"/>
          <w:sz w:val="22"/>
          <w:szCs w:val="22"/>
          <w:lang w:val="en-GB"/>
        </w:rPr>
        <w:t>Company</w:t>
      </w:r>
      <w:r w:rsidRPr="00514EFA">
        <w:rPr>
          <w:rFonts w:ascii="Arial" w:hAnsi="Arial" w:cs="Arial"/>
          <w:sz w:val="22"/>
          <w:szCs w:val="22"/>
          <w:lang w:val="en-GB"/>
        </w:rPr>
        <w:t xml:space="preserve"> </w:t>
      </w:r>
    </w:p>
    <w:p w14:paraId="29B18027" w14:textId="77777777" w:rsidR="00597B71" w:rsidRPr="00514EFA" w:rsidRDefault="00597B71" w:rsidP="00597B71">
      <w:pPr>
        <w:framePr w:w="4820" w:h="1820" w:hRule="exact" w:wrap="notBeside" w:vAnchor="page" w:hAnchor="page" w:x="1411" w:y="3611" w:anchorLock="1"/>
        <w:rPr>
          <w:rFonts w:ascii="Arial" w:hAnsi="Arial" w:cs="Arial"/>
          <w:sz w:val="22"/>
          <w:szCs w:val="22"/>
          <w:lang w:val="en-GB"/>
        </w:rPr>
      </w:pPr>
      <w:r>
        <w:rPr>
          <w:rFonts w:ascii="Arial" w:hAnsi="Arial" w:cs="Arial"/>
          <w:sz w:val="22"/>
          <w:szCs w:val="22"/>
          <w:lang w:val="en-GB"/>
        </w:rPr>
        <w:t>Street</w:t>
      </w:r>
    </w:p>
    <w:p w14:paraId="198E1F34" w14:textId="77777777" w:rsidR="00597B71" w:rsidRPr="00514EFA" w:rsidRDefault="00597B71" w:rsidP="00597B71">
      <w:pPr>
        <w:framePr w:w="4820" w:h="1820" w:hRule="exact" w:wrap="notBeside" w:vAnchor="page" w:hAnchor="page" w:x="1411" w:y="3611" w:anchorLock="1"/>
        <w:rPr>
          <w:rFonts w:ascii="Arial" w:hAnsi="Arial" w:cs="Arial"/>
          <w:sz w:val="22"/>
          <w:szCs w:val="22"/>
          <w:lang w:val="en-GB"/>
        </w:rPr>
      </w:pPr>
      <w:r w:rsidRPr="00514EFA">
        <w:rPr>
          <w:rFonts w:ascii="Arial" w:hAnsi="Arial" w:cs="Arial"/>
          <w:sz w:val="22"/>
          <w:szCs w:val="22"/>
          <w:lang w:val="en-GB"/>
        </w:rPr>
        <w:t>ZIP CITY</w:t>
      </w:r>
    </w:p>
    <w:p w14:paraId="7C4FC8DB" w14:textId="77777777" w:rsidR="00597B71" w:rsidRPr="00514EFA" w:rsidRDefault="00597B71" w:rsidP="00597B71">
      <w:pPr>
        <w:framePr w:w="4820" w:h="1820" w:hRule="exact" w:wrap="notBeside" w:vAnchor="page" w:hAnchor="page" w:x="1411" w:y="3611" w:anchorLock="1"/>
        <w:rPr>
          <w:rFonts w:ascii="Arial" w:hAnsi="Arial" w:cs="Arial"/>
          <w:noProof/>
          <w:sz w:val="22"/>
          <w:szCs w:val="22"/>
          <w:lang w:val="en-GB"/>
        </w:rPr>
      </w:pPr>
      <w:r w:rsidRPr="00514EFA">
        <w:rPr>
          <w:rFonts w:ascii="Arial" w:hAnsi="Arial" w:cs="Arial"/>
          <w:sz w:val="22"/>
          <w:szCs w:val="22"/>
          <w:lang w:val="en-GB"/>
        </w:rPr>
        <w:t>COUN</w:t>
      </w:r>
      <w:r>
        <w:rPr>
          <w:rFonts w:ascii="Arial" w:hAnsi="Arial" w:cs="Arial"/>
          <w:sz w:val="22"/>
          <w:szCs w:val="22"/>
          <w:lang w:val="en-GB"/>
        </w:rPr>
        <w:t>TRY</w:t>
      </w:r>
      <w:r w:rsidRPr="00514EFA">
        <w:rPr>
          <w:rFonts w:ascii="Arial" w:hAnsi="Arial" w:cs="Arial"/>
          <w:sz w:val="22"/>
          <w:szCs w:val="22"/>
          <w:lang w:val="en-GB"/>
        </w:rPr>
        <w:br/>
      </w:r>
      <w:r w:rsidRPr="00514EFA">
        <w:rPr>
          <w:rFonts w:ascii="Arial" w:hAnsi="Arial" w:cs="Arial"/>
          <w:sz w:val="22"/>
          <w:szCs w:val="22"/>
          <w:lang w:val="en-GB"/>
        </w:rPr>
        <w:br/>
      </w:r>
    </w:p>
    <w:p w14:paraId="1BD977E4" w14:textId="77777777" w:rsidR="00597B71" w:rsidRPr="00781896" w:rsidRDefault="00597B71" w:rsidP="00597B71">
      <w:pPr>
        <w:framePr w:w="4820" w:h="1820" w:hRule="exact" w:wrap="notBeside" w:vAnchor="page" w:hAnchor="page" w:x="1411" w:y="3611" w:anchorLock="1"/>
        <w:rPr>
          <w:rFonts w:ascii="Arial" w:hAnsi="Arial" w:cs="Arial"/>
          <w:noProof/>
          <w:sz w:val="22"/>
          <w:szCs w:val="22"/>
        </w:rPr>
      </w:pPr>
      <w:r>
        <w:rPr>
          <w:rFonts w:ascii="Calaibri" w:hAnsi="Calaibri" w:cs="Arial"/>
          <w:sz w:val="22"/>
          <w:szCs w:val="22"/>
        </w:rPr>
        <w:t>VAT#</w:t>
      </w:r>
      <w:r w:rsidRPr="00FD4A2D">
        <w:rPr>
          <w:rFonts w:ascii="Calaibri" w:hAnsi="Calaibri" w:cs="Arial"/>
          <w:sz w:val="22"/>
          <w:szCs w:val="22"/>
        </w:rPr>
        <w:t>:</w:t>
      </w:r>
      <w:r>
        <w:rPr>
          <w:rFonts w:ascii="Calaibri" w:hAnsi="Calaibri" w:cs="Arial"/>
          <w:sz w:val="22"/>
          <w:szCs w:val="22"/>
        </w:rPr>
        <w:t>………………..</w:t>
      </w:r>
    </w:p>
    <w:p w14:paraId="00D922E6" w14:textId="0551D43E" w:rsidR="00597B71" w:rsidRPr="00956CCE" w:rsidRDefault="00597B71" w:rsidP="00597B71">
      <w:pPr>
        <w:rPr>
          <w:rFonts w:ascii="Arial" w:hAnsi="Arial" w:cs="Arial"/>
          <w:sz w:val="18"/>
          <w:szCs w:val="16"/>
          <w:lang w:val="de-AT"/>
        </w:rPr>
      </w:pPr>
      <w:r w:rsidRPr="00956CCE">
        <w:rPr>
          <w:rFonts w:ascii="Arial" w:hAnsi="Arial" w:cs="Arial"/>
          <w:sz w:val="16"/>
          <w:lang w:val="de-AT"/>
        </w:rPr>
        <w:br/>
      </w:r>
      <w:r w:rsidRPr="00956CCE">
        <w:rPr>
          <w:rFonts w:ascii="Arial" w:hAnsi="Arial" w:cs="Arial"/>
          <w:sz w:val="16"/>
          <w:lang w:val="de-AT"/>
        </w:rPr>
        <w:br/>
      </w:r>
      <w:r w:rsidRPr="00956CCE">
        <w:rPr>
          <w:rFonts w:ascii="Arial" w:hAnsi="Arial" w:cs="Arial"/>
          <w:sz w:val="18"/>
          <w:lang w:val="de-AT"/>
        </w:rPr>
        <w:t>m</w:t>
      </w:r>
      <w:r w:rsidR="00E05DE2">
        <w:rPr>
          <w:rFonts w:ascii="Arial" w:hAnsi="Arial" w:cs="Arial"/>
          <w:sz w:val="18"/>
          <w:lang w:val="de-AT"/>
        </w:rPr>
        <w:t>lm</w:t>
      </w:r>
      <w:r w:rsidRPr="00956CCE">
        <w:rPr>
          <w:rFonts w:ascii="Arial" w:hAnsi="Arial" w:cs="Arial"/>
          <w:sz w:val="18"/>
          <w:lang w:val="de-AT"/>
        </w:rPr>
        <w:t xml:space="preserve"> med</w:t>
      </w:r>
      <w:r w:rsidR="00E05DE2">
        <w:rPr>
          <w:rFonts w:ascii="Arial" w:hAnsi="Arial" w:cs="Arial"/>
          <w:sz w:val="18"/>
          <w:lang w:val="de-AT"/>
        </w:rPr>
        <w:t>tech GmbH</w:t>
      </w:r>
      <w:r w:rsidRPr="00956CCE">
        <w:rPr>
          <w:rFonts w:ascii="Arial" w:hAnsi="Arial" w:cs="Arial"/>
          <w:sz w:val="18"/>
          <w:lang w:val="de-AT"/>
        </w:rPr>
        <w:t>, Maurer Lang</w:t>
      </w:r>
      <w:r>
        <w:rPr>
          <w:rFonts w:ascii="Arial" w:hAnsi="Arial" w:cs="Arial"/>
          <w:sz w:val="18"/>
          <w:lang w:val="de-AT"/>
        </w:rPr>
        <w:t>e G. 42/6, 1230 Wien</w:t>
      </w:r>
    </w:p>
    <w:p w14:paraId="251C8675" w14:textId="77777777" w:rsidR="00597B71" w:rsidRPr="007A6EF1" w:rsidRDefault="00597B71" w:rsidP="00597B71">
      <w:pPr>
        <w:pStyle w:val="Heading3"/>
        <w:spacing w:after="0" w:line="240" w:lineRule="auto"/>
        <w:rPr>
          <w:rFonts w:asciiTheme="majorHAnsi" w:hAnsiTheme="majorHAnsi" w:cstheme="majorHAnsi"/>
          <w:sz w:val="22"/>
          <w:szCs w:val="22"/>
          <w:lang w:val="en-GB"/>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A6EF1">
        <w:rPr>
          <w:rFonts w:asciiTheme="majorHAnsi" w:hAnsiTheme="majorHAnsi" w:cstheme="majorHAnsi"/>
          <w:sz w:val="22"/>
          <w:szCs w:val="22"/>
          <w:lang w:val="en-GB"/>
        </w:rPr>
        <w:t xml:space="preserve">Vienna, </w:t>
      </w:r>
      <w:r>
        <w:rPr>
          <w:rFonts w:asciiTheme="majorHAnsi" w:hAnsiTheme="majorHAnsi" w:cstheme="majorHAnsi"/>
          <w:sz w:val="22"/>
          <w:szCs w:val="22"/>
          <w:lang w:val="en-GB"/>
        </w:rPr>
        <w:t>Date</w:t>
      </w:r>
    </w:p>
    <w:p w14:paraId="1FA1CF95" w14:textId="5FD471DA" w:rsidR="00597B71" w:rsidRPr="007A6EF1" w:rsidRDefault="00597B71" w:rsidP="00597B71">
      <w:pPr>
        <w:pStyle w:val="Heading3"/>
        <w:spacing w:after="0" w:line="240" w:lineRule="auto"/>
        <w:rPr>
          <w:rFonts w:asciiTheme="majorHAnsi" w:hAnsiTheme="majorHAnsi" w:cstheme="majorHAnsi"/>
          <w:sz w:val="22"/>
          <w:szCs w:val="22"/>
          <w:lang w:val="en-GB"/>
        </w:rPr>
      </w:pPr>
      <w:r w:rsidRPr="007A6EF1">
        <w:rPr>
          <w:rFonts w:asciiTheme="majorHAnsi" w:hAnsiTheme="majorHAnsi" w:cstheme="majorHAnsi"/>
          <w:sz w:val="22"/>
          <w:szCs w:val="22"/>
          <w:lang w:val="en-GB"/>
        </w:rPr>
        <w:t xml:space="preserve">Pricing offer No.: </w:t>
      </w:r>
    </w:p>
    <w:p w14:paraId="1DA544B9" w14:textId="77777777" w:rsidR="00597B71" w:rsidRPr="00A1337C" w:rsidRDefault="00597B71" w:rsidP="00597B71">
      <w:pPr>
        <w:rPr>
          <w:rFonts w:ascii="Arial" w:hAnsi="Arial" w:cs="Arial"/>
          <w:sz w:val="22"/>
          <w:szCs w:val="22"/>
          <w:lang w:val="en-GB"/>
        </w:rPr>
      </w:pPr>
    </w:p>
    <w:p w14:paraId="684A2C85" w14:textId="77777777" w:rsidR="00597B71" w:rsidRDefault="00597B71" w:rsidP="00597B71">
      <w:pPr>
        <w:rPr>
          <w:rFonts w:ascii="Calaibri" w:hAnsi="Calaibri" w:cs="Arial"/>
          <w:sz w:val="22"/>
          <w:szCs w:val="22"/>
          <w:lang w:val="en-GB"/>
        </w:rPr>
      </w:pPr>
      <w:r w:rsidRPr="00753084">
        <w:rPr>
          <w:rFonts w:ascii="Calaibri" w:hAnsi="Calaibri" w:cs="Arial"/>
          <w:sz w:val="22"/>
          <w:szCs w:val="22"/>
          <w:lang w:val="en-GB"/>
        </w:rPr>
        <w:t xml:space="preserve">Dear </w:t>
      </w:r>
      <w:r>
        <w:rPr>
          <w:rFonts w:ascii="Calaibri" w:hAnsi="Calaibri" w:cs="Arial"/>
          <w:sz w:val="22"/>
          <w:szCs w:val="22"/>
          <w:lang w:val="en-GB"/>
        </w:rPr>
        <w:t>…………</w:t>
      </w:r>
    </w:p>
    <w:p w14:paraId="009AD6D1" w14:textId="77777777" w:rsidR="00597B71" w:rsidRPr="00753084" w:rsidRDefault="00597B71" w:rsidP="00597B71">
      <w:pPr>
        <w:rPr>
          <w:rFonts w:ascii="Calaibri" w:hAnsi="Calaibri" w:cs="Arial"/>
          <w:sz w:val="22"/>
          <w:szCs w:val="22"/>
          <w:lang w:val="en-GB"/>
        </w:rPr>
      </w:pPr>
    </w:p>
    <w:p w14:paraId="4F2FC400" w14:textId="5CBF6D4E" w:rsidR="00597B71" w:rsidRDefault="00597B71" w:rsidP="00597B71">
      <w:pPr>
        <w:rPr>
          <w:rFonts w:ascii="Calaibri" w:hAnsi="Calaibri" w:cs="Arial"/>
          <w:sz w:val="22"/>
          <w:szCs w:val="22"/>
          <w:lang w:val="en-GB"/>
        </w:rPr>
      </w:pPr>
      <w:r>
        <w:rPr>
          <w:rFonts w:ascii="Calaibri" w:hAnsi="Calaibri" w:cs="Arial"/>
          <w:sz w:val="22"/>
          <w:szCs w:val="22"/>
          <w:lang w:val="en-GB"/>
        </w:rPr>
        <w:t>….</w:t>
      </w:r>
      <w:r w:rsidRPr="00753084">
        <w:rPr>
          <w:rFonts w:ascii="Calaibri" w:hAnsi="Calaibri" w:cs="Arial"/>
          <w:sz w:val="22"/>
          <w:szCs w:val="22"/>
          <w:lang w:val="en-GB"/>
        </w:rPr>
        <w:t xml:space="preserve"> m</w:t>
      </w:r>
      <w:r w:rsidR="00E05DE2">
        <w:rPr>
          <w:rFonts w:ascii="Calaibri" w:hAnsi="Calaibri" w:cs="Arial"/>
          <w:sz w:val="22"/>
          <w:szCs w:val="22"/>
          <w:lang w:val="en-GB"/>
        </w:rPr>
        <w:t>l</w:t>
      </w:r>
      <w:r w:rsidRPr="00753084">
        <w:rPr>
          <w:rFonts w:ascii="Calaibri" w:hAnsi="Calaibri" w:cs="Arial"/>
          <w:sz w:val="22"/>
          <w:szCs w:val="22"/>
          <w:lang w:val="en-GB"/>
        </w:rPr>
        <w:t>m med</w:t>
      </w:r>
      <w:r w:rsidR="00E05DE2">
        <w:rPr>
          <w:rFonts w:ascii="Calaibri" w:hAnsi="Calaibri" w:cs="Arial"/>
          <w:sz w:val="22"/>
          <w:szCs w:val="22"/>
          <w:lang w:val="en-GB"/>
        </w:rPr>
        <w:t>tech GmbH</w:t>
      </w:r>
      <w:r w:rsidRPr="00753084">
        <w:rPr>
          <w:rFonts w:ascii="Calaibri" w:hAnsi="Calaibri" w:cs="Arial"/>
          <w:sz w:val="22"/>
          <w:szCs w:val="22"/>
          <w:lang w:val="en-GB"/>
        </w:rPr>
        <w:t xml:space="preserve"> (hereinafter referred to as the "Consultant")</w:t>
      </w:r>
      <w:r>
        <w:rPr>
          <w:rFonts w:ascii="Calaibri" w:hAnsi="Calaibri" w:cs="Arial"/>
          <w:sz w:val="22"/>
          <w:szCs w:val="22"/>
          <w:lang w:val="en-GB"/>
        </w:rPr>
        <w:t xml:space="preserve"> </w:t>
      </w:r>
      <w:r w:rsidR="00E05DE2">
        <w:rPr>
          <w:rFonts w:ascii="Calaibri" w:hAnsi="Calaibri" w:cs="Arial"/>
          <w:sz w:val="22"/>
          <w:szCs w:val="22"/>
          <w:lang w:val="en-GB"/>
        </w:rPr>
        <w:t xml:space="preserve">offers </w:t>
      </w:r>
      <w:r w:rsidRPr="00753084">
        <w:rPr>
          <w:rFonts w:ascii="Calaibri" w:hAnsi="Calaibri" w:cs="Arial"/>
          <w:sz w:val="22"/>
          <w:szCs w:val="22"/>
          <w:lang w:val="en-GB"/>
        </w:rPr>
        <w:t>the following consulting services (hereinafter referred to as the “SERVICES”)</w:t>
      </w:r>
      <w:r w:rsidR="00E05DE2">
        <w:rPr>
          <w:rFonts w:ascii="Calaibri" w:hAnsi="Calaibri" w:cs="Arial"/>
          <w:sz w:val="22"/>
          <w:szCs w:val="22"/>
          <w:lang w:val="en-GB"/>
        </w:rPr>
        <w:t>:</w:t>
      </w:r>
      <w:r w:rsidDel="00D9187F">
        <w:rPr>
          <w:rFonts w:ascii="Calaibri" w:hAnsi="Calaibri" w:cs="Arial"/>
          <w:sz w:val="22"/>
          <w:szCs w:val="22"/>
          <w:lang w:val="en-GB"/>
        </w:rPr>
        <w:t xml:space="preserve"> </w:t>
      </w:r>
    </w:p>
    <w:p w14:paraId="767F170E" w14:textId="77777777" w:rsidR="00597B71" w:rsidRDefault="00597B71" w:rsidP="00597B71">
      <w:pPr>
        <w:rPr>
          <w:rFonts w:ascii="Calibri" w:hAnsi="Calibri" w:cs="Calibri"/>
          <w:b/>
          <w:bCs/>
          <w:color w:val="000000"/>
          <w:sz w:val="22"/>
          <w:szCs w:val="22"/>
          <w:lang w:val="en-GB"/>
        </w:rPr>
      </w:pPr>
    </w:p>
    <w:p w14:paraId="04A45E57" w14:textId="77777777" w:rsidR="00597B71" w:rsidRPr="00514EFA" w:rsidRDefault="00597B71" w:rsidP="00597B71">
      <w:pPr>
        <w:rPr>
          <w:rFonts w:ascii="Arial" w:hAnsi="Arial" w:cs="Arial"/>
          <w:b/>
          <w:bCs/>
          <w:sz w:val="22"/>
          <w:szCs w:val="22"/>
          <w:lang w:val="en-GB"/>
        </w:rPr>
      </w:pPr>
      <w:r w:rsidRPr="00514EFA">
        <w:rPr>
          <w:rFonts w:ascii="Calibri" w:hAnsi="Calibri" w:cs="Calibri"/>
          <w:b/>
          <w:bCs/>
          <w:color w:val="000000"/>
          <w:sz w:val="22"/>
          <w:szCs w:val="22"/>
          <w:lang w:val="en-GB"/>
        </w:rPr>
        <w:t>The project</w:t>
      </w:r>
      <w:r>
        <w:rPr>
          <w:rFonts w:ascii="Calibri" w:hAnsi="Calibri" w:cs="Calibri"/>
          <w:b/>
          <w:bCs/>
          <w:color w:val="000000"/>
          <w:sz w:val="22"/>
          <w:szCs w:val="22"/>
          <w:lang w:val="en-GB"/>
        </w:rPr>
        <w:t xml:space="preserve"> aims to ………...</w:t>
      </w:r>
      <w:r w:rsidRPr="00514EFA">
        <w:rPr>
          <w:rFonts w:ascii="Calibri" w:hAnsi="Calibri" w:cs="Calibri"/>
          <w:b/>
          <w:bCs/>
          <w:color w:val="000000"/>
          <w:sz w:val="22"/>
          <w:szCs w:val="22"/>
          <w:lang w:val="en-GB"/>
        </w:rPr>
        <w:t xml:space="preserve"> </w:t>
      </w:r>
      <w:r>
        <w:rPr>
          <w:rFonts w:ascii="Calibri" w:hAnsi="Calibri" w:cs="Calibri"/>
          <w:b/>
          <w:bCs/>
          <w:color w:val="000000"/>
          <w:sz w:val="22"/>
          <w:szCs w:val="22"/>
          <w:lang w:val="en-GB"/>
        </w:rPr>
        <w:t>endorsement will be created by establishing connections</w:t>
      </w:r>
      <w:r w:rsidRPr="00514EFA">
        <w:rPr>
          <w:rFonts w:ascii="Calibri" w:hAnsi="Calibri" w:cs="Calibri"/>
          <w:b/>
          <w:bCs/>
          <w:color w:val="000000"/>
          <w:sz w:val="22"/>
          <w:szCs w:val="22"/>
          <w:lang w:val="en-GB"/>
        </w:rPr>
        <w:t xml:space="preserve"> with</w:t>
      </w:r>
      <w:r>
        <w:rPr>
          <w:rFonts w:ascii="Calibri" w:hAnsi="Calibri" w:cs="Calibri"/>
          <w:b/>
          <w:bCs/>
          <w:color w:val="000000"/>
          <w:sz w:val="22"/>
          <w:szCs w:val="22"/>
          <w:lang w:val="en-GB"/>
        </w:rPr>
        <w:t>, ………………to support</w:t>
      </w:r>
      <w:r w:rsidRPr="00514EFA">
        <w:rPr>
          <w:rFonts w:ascii="Calibri" w:hAnsi="Calibri" w:cs="Calibri"/>
          <w:b/>
          <w:bCs/>
          <w:color w:val="000000"/>
          <w:sz w:val="22"/>
          <w:szCs w:val="22"/>
          <w:lang w:val="en-GB"/>
        </w:rPr>
        <w:t xml:space="preserve"> </w:t>
      </w:r>
      <w:r>
        <w:rPr>
          <w:rFonts w:ascii="Calibri" w:hAnsi="Calibri" w:cs="Calibri"/>
          <w:b/>
          <w:bCs/>
          <w:color w:val="000000"/>
          <w:sz w:val="22"/>
          <w:szCs w:val="22"/>
          <w:lang w:val="en-GB"/>
        </w:rPr>
        <w:t xml:space="preserve">a </w:t>
      </w:r>
      <w:r w:rsidRPr="00514EFA">
        <w:rPr>
          <w:rFonts w:ascii="Calibri" w:hAnsi="Calibri" w:cs="Calibri"/>
          <w:b/>
          <w:bCs/>
          <w:color w:val="000000"/>
          <w:sz w:val="22"/>
          <w:szCs w:val="22"/>
          <w:lang w:val="en-GB"/>
        </w:rPr>
        <w:t>reimbursement application.</w:t>
      </w:r>
    </w:p>
    <w:tbl>
      <w:tblPr>
        <w:tblW w:w="9781" w:type="dxa"/>
        <w:tblLook w:val="04A0" w:firstRow="1" w:lastRow="0" w:firstColumn="1" w:lastColumn="0" w:noHBand="0" w:noVBand="1"/>
      </w:tblPr>
      <w:tblGrid>
        <w:gridCol w:w="960"/>
        <w:gridCol w:w="5419"/>
        <w:gridCol w:w="1243"/>
        <w:gridCol w:w="1025"/>
        <w:gridCol w:w="1134"/>
      </w:tblGrid>
      <w:tr w:rsidR="00597B71" w:rsidRPr="00D73D2D" w14:paraId="52DD1C07" w14:textId="77777777" w:rsidTr="00514EFA">
        <w:trPr>
          <w:trHeight w:val="540"/>
        </w:trPr>
        <w:tc>
          <w:tcPr>
            <w:tcW w:w="960" w:type="dxa"/>
            <w:tcBorders>
              <w:top w:val="nil"/>
              <w:left w:val="nil"/>
              <w:bottom w:val="nil"/>
              <w:right w:val="nil"/>
            </w:tcBorders>
            <w:shd w:val="clear" w:color="auto" w:fill="auto"/>
            <w:noWrap/>
            <w:vAlign w:val="bottom"/>
            <w:hideMark/>
          </w:tcPr>
          <w:p w14:paraId="30C3D299" w14:textId="77777777" w:rsidR="00597B71" w:rsidRPr="00D73D2D" w:rsidRDefault="00597B71" w:rsidP="00514EFA">
            <w:pPr>
              <w:rPr>
                <w:rFonts w:ascii="Calibri" w:hAnsi="Calibri" w:cs="Calibri"/>
                <w:color w:val="000000"/>
                <w:sz w:val="18"/>
                <w:szCs w:val="18"/>
              </w:rPr>
            </w:pPr>
            <w:r>
              <w:rPr>
                <w:rFonts w:ascii="Calibri" w:hAnsi="Calibri" w:cs="Calibri"/>
                <w:color w:val="000000"/>
                <w:sz w:val="18"/>
                <w:szCs w:val="18"/>
              </w:rPr>
              <w:t>Item #</w:t>
            </w:r>
            <w:r w:rsidRPr="00D73D2D">
              <w:rPr>
                <w:rFonts w:ascii="Calibri" w:hAnsi="Calibri" w:cs="Calibri"/>
                <w:color w:val="000000"/>
                <w:sz w:val="18"/>
                <w:szCs w:val="18"/>
              </w:rPr>
              <w:t>.</w:t>
            </w:r>
          </w:p>
        </w:tc>
        <w:tc>
          <w:tcPr>
            <w:tcW w:w="5419" w:type="dxa"/>
            <w:tcBorders>
              <w:top w:val="nil"/>
              <w:left w:val="nil"/>
              <w:bottom w:val="nil"/>
              <w:right w:val="nil"/>
            </w:tcBorders>
            <w:shd w:val="clear" w:color="auto" w:fill="auto"/>
            <w:vAlign w:val="bottom"/>
            <w:hideMark/>
          </w:tcPr>
          <w:p w14:paraId="63730AC0" w14:textId="77777777" w:rsidR="00597B71" w:rsidRPr="00D73D2D" w:rsidRDefault="00597B71" w:rsidP="00514EFA">
            <w:pPr>
              <w:rPr>
                <w:rFonts w:ascii="Calibri" w:hAnsi="Calibri" w:cs="Calibri"/>
                <w:color w:val="000000"/>
                <w:sz w:val="18"/>
                <w:szCs w:val="18"/>
              </w:rPr>
            </w:pPr>
            <w:r w:rsidRPr="00D73D2D">
              <w:rPr>
                <w:rFonts w:ascii="Calibri" w:hAnsi="Calibri" w:cs="Calibri"/>
                <w:color w:val="000000"/>
                <w:sz w:val="18"/>
                <w:szCs w:val="18"/>
              </w:rPr>
              <w:t>SERVICES</w:t>
            </w:r>
          </w:p>
        </w:tc>
        <w:tc>
          <w:tcPr>
            <w:tcW w:w="1243" w:type="dxa"/>
            <w:tcBorders>
              <w:top w:val="nil"/>
              <w:left w:val="nil"/>
              <w:bottom w:val="nil"/>
              <w:right w:val="nil"/>
            </w:tcBorders>
            <w:shd w:val="clear" w:color="auto" w:fill="auto"/>
            <w:vAlign w:val="bottom"/>
            <w:hideMark/>
          </w:tcPr>
          <w:p w14:paraId="4F70596A" w14:textId="25322B3E" w:rsidR="00597B71" w:rsidRPr="009A4AC5" w:rsidRDefault="009A4AC5" w:rsidP="00514EFA">
            <w:pPr>
              <w:jc w:val="center"/>
              <w:rPr>
                <w:rFonts w:ascii="Calibri" w:hAnsi="Calibri" w:cs="Calibri"/>
                <w:color w:val="000000"/>
                <w:sz w:val="18"/>
                <w:szCs w:val="18"/>
                <w:lang w:val="en-GB"/>
              </w:rPr>
            </w:pPr>
            <w:r>
              <w:rPr>
                <w:rFonts w:ascii="Calibri" w:hAnsi="Calibri" w:cs="Calibri"/>
                <w:color w:val="000000"/>
                <w:sz w:val="18"/>
                <w:szCs w:val="18"/>
                <w:lang w:val="en-GB"/>
              </w:rPr>
              <w:t>m</w:t>
            </w:r>
            <w:r w:rsidRPr="009A4AC5">
              <w:rPr>
                <w:rFonts w:ascii="Calibri" w:hAnsi="Calibri" w:cs="Calibri"/>
                <w:color w:val="000000"/>
                <w:sz w:val="18"/>
                <w:szCs w:val="18"/>
                <w:lang w:val="en-GB"/>
              </w:rPr>
              <w:t xml:space="preserve">ax. </w:t>
            </w:r>
            <w:r>
              <w:rPr>
                <w:rFonts w:ascii="Calibri" w:hAnsi="Calibri" w:cs="Calibri"/>
                <w:color w:val="000000"/>
                <w:sz w:val="18"/>
                <w:szCs w:val="18"/>
                <w:lang w:val="en-GB"/>
              </w:rPr>
              <w:t>h</w:t>
            </w:r>
            <w:r w:rsidRPr="009A4AC5">
              <w:rPr>
                <w:rFonts w:ascii="Calibri" w:hAnsi="Calibri" w:cs="Calibri"/>
                <w:color w:val="000000"/>
                <w:sz w:val="18"/>
                <w:szCs w:val="18"/>
                <w:lang w:val="en-GB"/>
              </w:rPr>
              <w:t>ours to reach KPIs</w:t>
            </w:r>
          </w:p>
        </w:tc>
        <w:tc>
          <w:tcPr>
            <w:tcW w:w="1025" w:type="dxa"/>
            <w:tcBorders>
              <w:top w:val="nil"/>
              <w:left w:val="nil"/>
              <w:bottom w:val="nil"/>
              <w:right w:val="nil"/>
            </w:tcBorders>
            <w:shd w:val="clear" w:color="auto" w:fill="auto"/>
            <w:vAlign w:val="bottom"/>
            <w:hideMark/>
          </w:tcPr>
          <w:p w14:paraId="24232667" w14:textId="77777777" w:rsidR="00597B71" w:rsidRPr="00D73D2D" w:rsidRDefault="00597B71" w:rsidP="00514EFA">
            <w:pPr>
              <w:jc w:val="center"/>
              <w:rPr>
                <w:rFonts w:ascii="Calibri" w:hAnsi="Calibri" w:cs="Calibri"/>
                <w:color w:val="000000"/>
                <w:sz w:val="18"/>
                <w:szCs w:val="18"/>
              </w:rPr>
            </w:pPr>
            <w:r w:rsidRPr="00D73D2D">
              <w:rPr>
                <w:rFonts w:ascii="Calibri" w:hAnsi="Calibri" w:cs="Calibri"/>
                <w:color w:val="000000"/>
                <w:sz w:val="18"/>
                <w:szCs w:val="18"/>
              </w:rPr>
              <w:t>Fee [€/h]</w:t>
            </w:r>
          </w:p>
        </w:tc>
        <w:tc>
          <w:tcPr>
            <w:tcW w:w="1134" w:type="dxa"/>
            <w:tcBorders>
              <w:top w:val="nil"/>
              <w:left w:val="nil"/>
              <w:bottom w:val="nil"/>
              <w:right w:val="nil"/>
            </w:tcBorders>
            <w:shd w:val="clear" w:color="auto" w:fill="auto"/>
            <w:vAlign w:val="bottom"/>
            <w:hideMark/>
          </w:tcPr>
          <w:p w14:paraId="738510A9" w14:textId="77777777" w:rsidR="00597B71" w:rsidRPr="00D73D2D" w:rsidRDefault="00597B71" w:rsidP="00514EFA">
            <w:pPr>
              <w:jc w:val="center"/>
              <w:rPr>
                <w:rFonts w:ascii="Calibri" w:hAnsi="Calibri" w:cs="Calibri"/>
                <w:color w:val="000000"/>
                <w:sz w:val="18"/>
                <w:szCs w:val="18"/>
              </w:rPr>
            </w:pPr>
            <w:r w:rsidRPr="00D73D2D">
              <w:rPr>
                <w:rFonts w:ascii="Calibri" w:hAnsi="Calibri" w:cs="Calibri"/>
                <w:color w:val="000000"/>
                <w:sz w:val="18"/>
                <w:szCs w:val="18"/>
              </w:rPr>
              <w:t>Net, excl. VAT</w:t>
            </w:r>
          </w:p>
        </w:tc>
      </w:tr>
      <w:tr w:rsidR="00597B71" w:rsidRPr="00D73D2D" w14:paraId="5C718866" w14:textId="77777777" w:rsidTr="00514EFA">
        <w:trPr>
          <w:trHeight w:val="6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892378" w14:textId="77777777" w:rsidR="00597B71" w:rsidRPr="00D73D2D" w:rsidRDefault="00597B71" w:rsidP="00514EFA">
            <w:pPr>
              <w:rPr>
                <w:rFonts w:ascii="Calibri" w:hAnsi="Calibri" w:cs="Calibri"/>
                <w:b/>
                <w:bCs/>
                <w:color w:val="000000"/>
                <w:sz w:val="18"/>
                <w:szCs w:val="18"/>
              </w:rPr>
            </w:pPr>
            <w:r w:rsidRPr="00D73D2D">
              <w:rPr>
                <w:rFonts w:ascii="Calibri" w:hAnsi="Calibri" w:cs="Calibri"/>
                <w:b/>
                <w:bCs/>
                <w:color w:val="000000"/>
                <w:sz w:val="18"/>
                <w:szCs w:val="18"/>
              </w:rPr>
              <w:t>A1</w:t>
            </w:r>
          </w:p>
        </w:tc>
        <w:tc>
          <w:tcPr>
            <w:tcW w:w="5419" w:type="dxa"/>
            <w:tcBorders>
              <w:top w:val="single" w:sz="8" w:space="0" w:color="auto"/>
              <w:left w:val="nil"/>
              <w:bottom w:val="single" w:sz="8" w:space="0" w:color="auto"/>
              <w:right w:val="single" w:sz="4" w:space="0" w:color="auto"/>
            </w:tcBorders>
            <w:shd w:val="clear" w:color="auto" w:fill="auto"/>
            <w:vAlign w:val="center"/>
            <w:hideMark/>
          </w:tcPr>
          <w:p w14:paraId="33226DCA" w14:textId="77777777" w:rsidR="00597B71" w:rsidRPr="00514EFA" w:rsidRDefault="00597B71" w:rsidP="00514EFA">
            <w:pPr>
              <w:rPr>
                <w:rFonts w:ascii="Calibri" w:hAnsi="Calibri" w:cs="Calibri"/>
                <w:b/>
                <w:bCs/>
                <w:color w:val="000000"/>
                <w:sz w:val="18"/>
                <w:szCs w:val="18"/>
                <w:lang w:val="en-GB"/>
              </w:rPr>
            </w:pPr>
            <w:r>
              <w:rPr>
                <w:rFonts w:ascii="Calibri" w:hAnsi="Calibri" w:cs="Calibri"/>
                <w:b/>
                <w:bCs/>
                <w:color w:val="000000"/>
                <w:sz w:val="18"/>
                <w:szCs w:val="18"/>
                <w:lang w:val="en-GB"/>
              </w:rPr>
              <w:t>……………</w:t>
            </w:r>
          </w:p>
        </w:tc>
        <w:tc>
          <w:tcPr>
            <w:tcW w:w="1243" w:type="dxa"/>
            <w:tcBorders>
              <w:top w:val="single" w:sz="8" w:space="0" w:color="auto"/>
              <w:left w:val="nil"/>
              <w:bottom w:val="single" w:sz="8" w:space="0" w:color="auto"/>
              <w:right w:val="single" w:sz="4" w:space="0" w:color="auto"/>
            </w:tcBorders>
            <w:shd w:val="clear" w:color="auto" w:fill="auto"/>
            <w:noWrap/>
            <w:vAlign w:val="center"/>
            <w:hideMark/>
          </w:tcPr>
          <w:p w14:paraId="4ADAA4E4" w14:textId="77777777" w:rsidR="00597B71" w:rsidRPr="0068484C" w:rsidRDefault="00597B71" w:rsidP="00514EFA">
            <w:pPr>
              <w:jc w:val="center"/>
              <w:rPr>
                <w:rFonts w:ascii="Calibri" w:hAnsi="Calibri" w:cs="Calibri"/>
                <w:b/>
                <w:bCs/>
                <w:color w:val="000000"/>
                <w:sz w:val="18"/>
                <w:szCs w:val="18"/>
              </w:rPr>
            </w:pPr>
          </w:p>
        </w:tc>
        <w:tc>
          <w:tcPr>
            <w:tcW w:w="1025" w:type="dxa"/>
            <w:tcBorders>
              <w:top w:val="single" w:sz="8" w:space="0" w:color="auto"/>
              <w:left w:val="nil"/>
              <w:bottom w:val="single" w:sz="8" w:space="0" w:color="auto"/>
              <w:right w:val="single" w:sz="4" w:space="0" w:color="auto"/>
            </w:tcBorders>
            <w:shd w:val="clear" w:color="auto" w:fill="auto"/>
            <w:noWrap/>
            <w:vAlign w:val="center"/>
            <w:hideMark/>
          </w:tcPr>
          <w:p w14:paraId="40F495BF" w14:textId="3583EDC9" w:rsidR="00597B71" w:rsidRPr="00D73D2D" w:rsidRDefault="00597B71" w:rsidP="00514EFA">
            <w:pPr>
              <w:rPr>
                <w:rFonts w:ascii="Calibri" w:hAnsi="Calibri" w:cs="Calibri"/>
                <w:color w:val="000000"/>
                <w:sz w:val="18"/>
                <w:szCs w:val="18"/>
              </w:rPr>
            </w:pPr>
            <w:r w:rsidRPr="00D73D2D">
              <w:rPr>
                <w:rFonts w:ascii="Calibri" w:hAnsi="Calibri" w:cs="Calibri"/>
                <w:color w:val="000000"/>
                <w:sz w:val="18"/>
                <w:szCs w:val="18"/>
              </w:rPr>
              <w:t xml:space="preserve"> €   1</w:t>
            </w:r>
            <w:r w:rsidR="009A4AC5">
              <w:rPr>
                <w:rFonts w:ascii="Calibri" w:hAnsi="Calibri" w:cs="Calibri"/>
                <w:color w:val="000000"/>
                <w:sz w:val="18"/>
                <w:szCs w:val="18"/>
              </w:rPr>
              <w:t>9</w:t>
            </w:r>
            <w:r w:rsidRPr="00D73D2D">
              <w:rPr>
                <w:rFonts w:ascii="Calibri" w:hAnsi="Calibri" w:cs="Calibri"/>
                <w:color w:val="000000"/>
                <w:sz w:val="18"/>
                <w:szCs w:val="18"/>
              </w:rPr>
              <w:t xml:space="preserve">5,00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2218ED7" w14:textId="77777777" w:rsidR="00597B71" w:rsidRPr="00D73D2D" w:rsidRDefault="00597B71" w:rsidP="00514EFA">
            <w:pPr>
              <w:rPr>
                <w:rFonts w:ascii="Calibri" w:hAnsi="Calibri" w:cs="Calibri"/>
                <w:b/>
                <w:bCs/>
                <w:color w:val="000000"/>
                <w:sz w:val="18"/>
                <w:szCs w:val="18"/>
              </w:rPr>
            </w:pPr>
            <w:r w:rsidRPr="00D73D2D">
              <w:rPr>
                <w:rFonts w:ascii="Calibri" w:hAnsi="Calibri" w:cs="Calibri"/>
                <w:b/>
                <w:bCs/>
                <w:color w:val="000000"/>
                <w:sz w:val="18"/>
                <w:szCs w:val="18"/>
              </w:rPr>
              <w:t xml:space="preserve"> €   </w:t>
            </w:r>
          </w:p>
        </w:tc>
      </w:tr>
      <w:tr w:rsidR="00597B71" w:rsidRPr="00D73D2D" w14:paraId="314FCC6F" w14:textId="77777777" w:rsidTr="00514EFA">
        <w:trPr>
          <w:trHeight w:val="300"/>
        </w:trPr>
        <w:tc>
          <w:tcPr>
            <w:tcW w:w="960" w:type="dxa"/>
            <w:tcBorders>
              <w:top w:val="nil"/>
              <w:left w:val="nil"/>
              <w:bottom w:val="nil"/>
              <w:right w:val="nil"/>
            </w:tcBorders>
            <w:shd w:val="clear" w:color="auto" w:fill="auto"/>
            <w:noWrap/>
            <w:vAlign w:val="center"/>
            <w:hideMark/>
          </w:tcPr>
          <w:p w14:paraId="0A8A970A" w14:textId="77777777" w:rsidR="00597B71" w:rsidRPr="00D73D2D" w:rsidRDefault="00597B71" w:rsidP="00514EFA">
            <w:pPr>
              <w:rPr>
                <w:rFonts w:ascii="Calibri" w:hAnsi="Calibri" w:cs="Calibri"/>
                <w:color w:val="000000"/>
                <w:sz w:val="18"/>
                <w:szCs w:val="18"/>
              </w:rPr>
            </w:pPr>
            <w:r w:rsidRPr="00D73D2D">
              <w:rPr>
                <w:rFonts w:ascii="Calibri" w:hAnsi="Calibri" w:cs="Calibri"/>
                <w:color w:val="000000"/>
                <w:sz w:val="18"/>
                <w:szCs w:val="18"/>
              </w:rPr>
              <w:t>A1.1</w:t>
            </w:r>
          </w:p>
        </w:tc>
        <w:tc>
          <w:tcPr>
            <w:tcW w:w="5419" w:type="dxa"/>
            <w:tcBorders>
              <w:top w:val="nil"/>
              <w:left w:val="nil"/>
              <w:bottom w:val="nil"/>
              <w:right w:val="nil"/>
            </w:tcBorders>
            <w:shd w:val="clear" w:color="auto" w:fill="auto"/>
            <w:vAlign w:val="center"/>
          </w:tcPr>
          <w:p w14:paraId="01D106EB" w14:textId="77777777" w:rsidR="00597B71" w:rsidRPr="00514EFA" w:rsidRDefault="00597B71" w:rsidP="00514EFA">
            <w:pPr>
              <w:rPr>
                <w:rFonts w:ascii="Calibri" w:hAnsi="Calibri" w:cs="Calibri"/>
                <w:color w:val="000000"/>
                <w:sz w:val="18"/>
                <w:szCs w:val="18"/>
                <w:lang w:val="en-GB"/>
              </w:rPr>
            </w:pPr>
          </w:p>
        </w:tc>
        <w:tc>
          <w:tcPr>
            <w:tcW w:w="1243" w:type="dxa"/>
            <w:tcBorders>
              <w:top w:val="nil"/>
              <w:left w:val="nil"/>
              <w:bottom w:val="nil"/>
              <w:right w:val="nil"/>
            </w:tcBorders>
            <w:shd w:val="clear" w:color="auto" w:fill="auto"/>
            <w:noWrap/>
            <w:vAlign w:val="center"/>
          </w:tcPr>
          <w:p w14:paraId="4B032642" w14:textId="77777777" w:rsidR="00597B71" w:rsidRPr="00C17E31" w:rsidRDefault="00597B71" w:rsidP="00514EFA">
            <w:pPr>
              <w:jc w:val="center"/>
              <w:rPr>
                <w:rFonts w:ascii="Calibri" w:hAnsi="Calibri" w:cs="Calibri"/>
                <w:color w:val="000000"/>
                <w:sz w:val="18"/>
                <w:szCs w:val="18"/>
              </w:rPr>
            </w:pPr>
          </w:p>
        </w:tc>
        <w:tc>
          <w:tcPr>
            <w:tcW w:w="1025" w:type="dxa"/>
            <w:tcBorders>
              <w:top w:val="nil"/>
              <w:left w:val="nil"/>
              <w:bottom w:val="nil"/>
              <w:right w:val="nil"/>
            </w:tcBorders>
            <w:shd w:val="clear" w:color="auto" w:fill="auto"/>
            <w:noWrap/>
            <w:vAlign w:val="center"/>
            <w:hideMark/>
          </w:tcPr>
          <w:p w14:paraId="52DF975B" w14:textId="77777777" w:rsidR="00597B71" w:rsidRPr="00D73D2D" w:rsidRDefault="00597B71" w:rsidP="00514EFA">
            <w:pPr>
              <w:jc w:val="center"/>
              <w:rPr>
                <w:rFonts w:ascii="Calibri" w:hAnsi="Calibri" w:cs="Calibri"/>
                <w:color w:val="000000"/>
                <w:sz w:val="18"/>
                <w:szCs w:val="18"/>
              </w:rPr>
            </w:pPr>
          </w:p>
        </w:tc>
        <w:tc>
          <w:tcPr>
            <w:tcW w:w="1134" w:type="dxa"/>
            <w:tcBorders>
              <w:top w:val="nil"/>
              <w:left w:val="nil"/>
              <w:bottom w:val="nil"/>
              <w:right w:val="nil"/>
            </w:tcBorders>
            <w:shd w:val="clear" w:color="auto" w:fill="auto"/>
            <w:noWrap/>
            <w:vAlign w:val="center"/>
            <w:hideMark/>
          </w:tcPr>
          <w:p w14:paraId="66BE65AF" w14:textId="77777777" w:rsidR="00597B71" w:rsidRPr="00D73D2D" w:rsidRDefault="00597B71" w:rsidP="00514EFA">
            <w:pPr>
              <w:rPr>
                <w:sz w:val="18"/>
                <w:szCs w:val="18"/>
              </w:rPr>
            </w:pPr>
          </w:p>
        </w:tc>
      </w:tr>
      <w:tr w:rsidR="00597B71" w:rsidRPr="00D73D2D" w14:paraId="40F1A733" w14:textId="77777777" w:rsidTr="00514EFA">
        <w:trPr>
          <w:trHeight w:val="300"/>
        </w:trPr>
        <w:tc>
          <w:tcPr>
            <w:tcW w:w="960" w:type="dxa"/>
            <w:tcBorders>
              <w:top w:val="nil"/>
              <w:left w:val="nil"/>
              <w:bottom w:val="nil"/>
              <w:right w:val="nil"/>
            </w:tcBorders>
            <w:shd w:val="clear" w:color="auto" w:fill="auto"/>
            <w:noWrap/>
            <w:vAlign w:val="center"/>
            <w:hideMark/>
          </w:tcPr>
          <w:p w14:paraId="5D627A57" w14:textId="77777777" w:rsidR="00597B71" w:rsidRPr="00D73D2D" w:rsidRDefault="00597B71" w:rsidP="00514EFA">
            <w:pPr>
              <w:rPr>
                <w:rFonts w:ascii="Calibri" w:hAnsi="Calibri" w:cs="Calibri"/>
                <w:color w:val="000000"/>
                <w:sz w:val="18"/>
                <w:szCs w:val="18"/>
              </w:rPr>
            </w:pPr>
            <w:r w:rsidRPr="00D73D2D">
              <w:rPr>
                <w:rFonts w:ascii="Calibri" w:hAnsi="Calibri" w:cs="Calibri"/>
                <w:color w:val="000000"/>
                <w:sz w:val="18"/>
                <w:szCs w:val="18"/>
              </w:rPr>
              <w:t>A1.2</w:t>
            </w:r>
          </w:p>
        </w:tc>
        <w:tc>
          <w:tcPr>
            <w:tcW w:w="5419" w:type="dxa"/>
            <w:tcBorders>
              <w:top w:val="nil"/>
              <w:left w:val="nil"/>
              <w:bottom w:val="nil"/>
              <w:right w:val="nil"/>
            </w:tcBorders>
            <w:shd w:val="clear" w:color="auto" w:fill="auto"/>
            <w:vAlign w:val="center"/>
          </w:tcPr>
          <w:p w14:paraId="25FC4867" w14:textId="77777777" w:rsidR="00597B71" w:rsidRPr="00287BBE" w:rsidRDefault="00597B71" w:rsidP="00514EFA">
            <w:pPr>
              <w:rPr>
                <w:rFonts w:ascii="Calibri" w:hAnsi="Calibri" w:cs="Calibri"/>
                <w:color w:val="000000"/>
                <w:sz w:val="18"/>
                <w:szCs w:val="18"/>
                <w:lang w:val="en-GB"/>
              </w:rPr>
            </w:pPr>
          </w:p>
        </w:tc>
        <w:tc>
          <w:tcPr>
            <w:tcW w:w="1243" w:type="dxa"/>
            <w:tcBorders>
              <w:top w:val="nil"/>
              <w:left w:val="nil"/>
              <w:bottom w:val="nil"/>
              <w:right w:val="nil"/>
            </w:tcBorders>
            <w:shd w:val="clear" w:color="auto" w:fill="auto"/>
            <w:noWrap/>
            <w:vAlign w:val="center"/>
          </w:tcPr>
          <w:p w14:paraId="5A72675D" w14:textId="77777777" w:rsidR="00597B71" w:rsidRPr="00FC1D60" w:rsidRDefault="00597B71" w:rsidP="00514EFA">
            <w:pPr>
              <w:jc w:val="center"/>
              <w:rPr>
                <w:rFonts w:ascii="Calibri" w:hAnsi="Calibri" w:cs="Calibri"/>
                <w:color w:val="000000"/>
                <w:sz w:val="18"/>
                <w:szCs w:val="18"/>
              </w:rPr>
            </w:pPr>
          </w:p>
        </w:tc>
        <w:tc>
          <w:tcPr>
            <w:tcW w:w="1025" w:type="dxa"/>
            <w:tcBorders>
              <w:top w:val="nil"/>
              <w:left w:val="nil"/>
              <w:bottom w:val="nil"/>
              <w:right w:val="nil"/>
            </w:tcBorders>
            <w:shd w:val="clear" w:color="auto" w:fill="auto"/>
            <w:noWrap/>
            <w:vAlign w:val="center"/>
            <w:hideMark/>
          </w:tcPr>
          <w:p w14:paraId="71F453B7" w14:textId="77777777" w:rsidR="00597B71" w:rsidRPr="00D73D2D" w:rsidRDefault="00597B71" w:rsidP="00514EFA">
            <w:pPr>
              <w:jc w:val="center"/>
              <w:rPr>
                <w:rFonts w:ascii="Calibri" w:hAnsi="Calibri" w:cs="Calibri"/>
                <w:color w:val="000000"/>
                <w:sz w:val="18"/>
                <w:szCs w:val="18"/>
              </w:rPr>
            </w:pPr>
          </w:p>
        </w:tc>
        <w:tc>
          <w:tcPr>
            <w:tcW w:w="1134" w:type="dxa"/>
            <w:tcBorders>
              <w:top w:val="nil"/>
              <w:left w:val="nil"/>
              <w:bottom w:val="nil"/>
              <w:right w:val="nil"/>
            </w:tcBorders>
            <w:shd w:val="clear" w:color="auto" w:fill="auto"/>
            <w:noWrap/>
            <w:vAlign w:val="center"/>
            <w:hideMark/>
          </w:tcPr>
          <w:p w14:paraId="453C9A20" w14:textId="77777777" w:rsidR="00597B71" w:rsidRPr="00D73D2D" w:rsidRDefault="00597B71" w:rsidP="00514EFA">
            <w:pPr>
              <w:rPr>
                <w:sz w:val="18"/>
                <w:szCs w:val="18"/>
              </w:rPr>
            </w:pPr>
          </w:p>
        </w:tc>
      </w:tr>
      <w:tr w:rsidR="00597B71" w:rsidRPr="00D73D2D" w14:paraId="26E3D6F5" w14:textId="77777777" w:rsidTr="00514EFA">
        <w:trPr>
          <w:trHeight w:val="300"/>
        </w:trPr>
        <w:tc>
          <w:tcPr>
            <w:tcW w:w="960" w:type="dxa"/>
            <w:tcBorders>
              <w:top w:val="nil"/>
              <w:left w:val="nil"/>
              <w:bottom w:val="nil"/>
              <w:right w:val="nil"/>
            </w:tcBorders>
            <w:shd w:val="clear" w:color="auto" w:fill="auto"/>
            <w:noWrap/>
            <w:vAlign w:val="center"/>
            <w:hideMark/>
          </w:tcPr>
          <w:p w14:paraId="11A826BF" w14:textId="77777777" w:rsidR="00597B71" w:rsidRPr="00D73D2D" w:rsidRDefault="00597B71" w:rsidP="00514EFA">
            <w:pPr>
              <w:rPr>
                <w:rFonts w:ascii="Calibri" w:hAnsi="Calibri" w:cs="Calibri"/>
                <w:color w:val="000000"/>
                <w:sz w:val="18"/>
                <w:szCs w:val="18"/>
              </w:rPr>
            </w:pPr>
            <w:r w:rsidRPr="00D73D2D">
              <w:rPr>
                <w:rFonts w:ascii="Calibri" w:hAnsi="Calibri" w:cs="Calibri"/>
                <w:color w:val="000000"/>
                <w:sz w:val="18"/>
                <w:szCs w:val="18"/>
              </w:rPr>
              <w:t>A1.3</w:t>
            </w:r>
          </w:p>
        </w:tc>
        <w:tc>
          <w:tcPr>
            <w:tcW w:w="5419" w:type="dxa"/>
            <w:tcBorders>
              <w:top w:val="nil"/>
              <w:left w:val="nil"/>
              <w:bottom w:val="nil"/>
              <w:right w:val="nil"/>
            </w:tcBorders>
            <w:shd w:val="clear" w:color="auto" w:fill="auto"/>
            <w:vAlign w:val="center"/>
          </w:tcPr>
          <w:p w14:paraId="7AE33158" w14:textId="77777777" w:rsidR="00597B71" w:rsidRPr="00B00F7E" w:rsidRDefault="00597B71" w:rsidP="00514EFA">
            <w:pPr>
              <w:rPr>
                <w:rFonts w:ascii="Calibri" w:hAnsi="Calibri" w:cs="Calibri"/>
                <w:color w:val="000000"/>
                <w:sz w:val="18"/>
                <w:szCs w:val="18"/>
                <w:lang w:val="en-GB"/>
              </w:rPr>
            </w:pPr>
          </w:p>
        </w:tc>
        <w:tc>
          <w:tcPr>
            <w:tcW w:w="1243" w:type="dxa"/>
            <w:tcBorders>
              <w:top w:val="nil"/>
              <w:left w:val="nil"/>
              <w:bottom w:val="nil"/>
              <w:right w:val="nil"/>
            </w:tcBorders>
            <w:shd w:val="clear" w:color="auto" w:fill="auto"/>
            <w:noWrap/>
            <w:vAlign w:val="center"/>
          </w:tcPr>
          <w:p w14:paraId="78E8F381" w14:textId="77777777" w:rsidR="00597B71" w:rsidRPr="00FC1D60" w:rsidRDefault="00597B71" w:rsidP="00514EFA">
            <w:pPr>
              <w:jc w:val="center"/>
              <w:rPr>
                <w:rFonts w:ascii="Calibri" w:hAnsi="Calibri" w:cs="Calibri"/>
                <w:color w:val="000000"/>
                <w:sz w:val="18"/>
                <w:szCs w:val="18"/>
              </w:rPr>
            </w:pPr>
          </w:p>
        </w:tc>
        <w:tc>
          <w:tcPr>
            <w:tcW w:w="1025" w:type="dxa"/>
            <w:tcBorders>
              <w:top w:val="nil"/>
              <w:left w:val="nil"/>
              <w:bottom w:val="nil"/>
              <w:right w:val="nil"/>
            </w:tcBorders>
            <w:shd w:val="clear" w:color="auto" w:fill="auto"/>
            <w:noWrap/>
            <w:vAlign w:val="center"/>
            <w:hideMark/>
          </w:tcPr>
          <w:p w14:paraId="1BD2837E" w14:textId="77777777" w:rsidR="00597B71" w:rsidRPr="00D73D2D" w:rsidRDefault="00597B71" w:rsidP="00514EFA">
            <w:pPr>
              <w:jc w:val="center"/>
              <w:rPr>
                <w:rFonts w:ascii="Calibri" w:hAnsi="Calibri" w:cs="Calibri"/>
                <w:color w:val="000000"/>
                <w:sz w:val="18"/>
                <w:szCs w:val="18"/>
              </w:rPr>
            </w:pPr>
          </w:p>
        </w:tc>
        <w:tc>
          <w:tcPr>
            <w:tcW w:w="1134" w:type="dxa"/>
            <w:tcBorders>
              <w:top w:val="nil"/>
              <w:left w:val="nil"/>
              <w:bottom w:val="nil"/>
              <w:right w:val="nil"/>
            </w:tcBorders>
            <w:shd w:val="clear" w:color="auto" w:fill="auto"/>
            <w:noWrap/>
            <w:vAlign w:val="center"/>
            <w:hideMark/>
          </w:tcPr>
          <w:p w14:paraId="760B3457" w14:textId="77777777" w:rsidR="00597B71" w:rsidRPr="00D73D2D" w:rsidRDefault="00597B71" w:rsidP="00514EFA">
            <w:pPr>
              <w:rPr>
                <w:sz w:val="18"/>
                <w:szCs w:val="18"/>
              </w:rPr>
            </w:pPr>
          </w:p>
        </w:tc>
      </w:tr>
      <w:tr w:rsidR="00597B71" w:rsidRPr="00D73D2D" w14:paraId="16EC082B" w14:textId="77777777" w:rsidTr="00514EFA">
        <w:trPr>
          <w:trHeight w:val="315"/>
        </w:trPr>
        <w:tc>
          <w:tcPr>
            <w:tcW w:w="960" w:type="dxa"/>
            <w:tcBorders>
              <w:top w:val="nil"/>
              <w:left w:val="nil"/>
              <w:bottom w:val="single" w:sz="4" w:space="0" w:color="auto"/>
              <w:right w:val="nil"/>
            </w:tcBorders>
            <w:shd w:val="clear" w:color="auto" w:fill="auto"/>
            <w:noWrap/>
            <w:vAlign w:val="center"/>
            <w:hideMark/>
          </w:tcPr>
          <w:p w14:paraId="0DBA3778" w14:textId="77777777" w:rsidR="00597B71" w:rsidRPr="00D73D2D" w:rsidRDefault="00597B71" w:rsidP="00514EFA">
            <w:pPr>
              <w:rPr>
                <w:rFonts w:ascii="Calibri" w:hAnsi="Calibri" w:cs="Calibri"/>
                <w:color w:val="000000"/>
                <w:sz w:val="18"/>
                <w:szCs w:val="18"/>
              </w:rPr>
            </w:pPr>
            <w:r w:rsidRPr="00D73D2D">
              <w:rPr>
                <w:rFonts w:ascii="Calibri" w:hAnsi="Calibri" w:cs="Calibri"/>
                <w:color w:val="000000"/>
                <w:sz w:val="18"/>
                <w:szCs w:val="18"/>
              </w:rPr>
              <w:t>A1.4</w:t>
            </w:r>
          </w:p>
        </w:tc>
        <w:tc>
          <w:tcPr>
            <w:tcW w:w="5419" w:type="dxa"/>
            <w:tcBorders>
              <w:top w:val="nil"/>
              <w:left w:val="nil"/>
              <w:bottom w:val="nil"/>
              <w:right w:val="nil"/>
            </w:tcBorders>
            <w:shd w:val="clear" w:color="auto" w:fill="auto"/>
            <w:vAlign w:val="center"/>
          </w:tcPr>
          <w:p w14:paraId="3BEEAE7E" w14:textId="77777777" w:rsidR="00597B71" w:rsidRPr="00514EFA" w:rsidRDefault="00597B71" w:rsidP="00514EFA">
            <w:pPr>
              <w:rPr>
                <w:rFonts w:ascii="Calibri" w:hAnsi="Calibri" w:cs="Calibri"/>
                <w:color w:val="000000"/>
                <w:sz w:val="18"/>
                <w:szCs w:val="18"/>
                <w:lang w:val="en-GB"/>
              </w:rPr>
            </w:pPr>
          </w:p>
        </w:tc>
        <w:tc>
          <w:tcPr>
            <w:tcW w:w="1243" w:type="dxa"/>
            <w:tcBorders>
              <w:top w:val="nil"/>
              <w:left w:val="nil"/>
              <w:bottom w:val="nil"/>
              <w:right w:val="nil"/>
            </w:tcBorders>
            <w:shd w:val="clear" w:color="auto" w:fill="auto"/>
            <w:noWrap/>
            <w:vAlign w:val="center"/>
          </w:tcPr>
          <w:p w14:paraId="4EA8DE95" w14:textId="77777777" w:rsidR="00597B71" w:rsidRPr="0068484C" w:rsidRDefault="00597B71" w:rsidP="00514EFA">
            <w:pPr>
              <w:jc w:val="center"/>
              <w:rPr>
                <w:rFonts w:ascii="Calibri" w:hAnsi="Calibri" w:cs="Calibri"/>
                <w:color w:val="000000"/>
                <w:sz w:val="18"/>
                <w:szCs w:val="18"/>
              </w:rPr>
            </w:pPr>
          </w:p>
        </w:tc>
        <w:tc>
          <w:tcPr>
            <w:tcW w:w="1025" w:type="dxa"/>
            <w:tcBorders>
              <w:top w:val="nil"/>
              <w:left w:val="nil"/>
              <w:bottom w:val="nil"/>
              <w:right w:val="nil"/>
            </w:tcBorders>
            <w:shd w:val="clear" w:color="auto" w:fill="auto"/>
            <w:noWrap/>
            <w:vAlign w:val="center"/>
            <w:hideMark/>
          </w:tcPr>
          <w:p w14:paraId="3F6FC68E" w14:textId="77777777" w:rsidR="00597B71" w:rsidRPr="00D73D2D" w:rsidRDefault="00597B71" w:rsidP="00514EFA">
            <w:pPr>
              <w:jc w:val="center"/>
              <w:rPr>
                <w:rFonts w:ascii="Calibri" w:hAnsi="Calibri" w:cs="Calibri"/>
                <w:color w:val="000000"/>
                <w:sz w:val="18"/>
                <w:szCs w:val="18"/>
              </w:rPr>
            </w:pPr>
          </w:p>
        </w:tc>
        <w:tc>
          <w:tcPr>
            <w:tcW w:w="1134" w:type="dxa"/>
            <w:tcBorders>
              <w:top w:val="nil"/>
              <w:left w:val="nil"/>
              <w:bottom w:val="nil"/>
              <w:right w:val="nil"/>
            </w:tcBorders>
            <w:shd w:val="clear" w:color="auto" w:fill="auto"/>
            <w:noWrap/>
            <w:vAlign w:val="center"/>
            <w:hideMark/>
          </w:tcPr>
          <w:p w14:paraId="3E2119EA" w14:textId="77777777" w:rsidR="00597B71" w:rsidRPr="00D73D2D" w:rsidRDefault="00597B71" w:rsidP="00514EFA">
            <w:pPr>
              <w:rPr>
                <w:sz w:val="18"/>
                <w:szCs w:val="18"/>
              </w:rPr>
            </w:pPr>
          </w:p>
        </w:tc>
      </w:tr>
      <w:tr w:rsidR="00597B71" w:rsidRPr="00D73D2D" w14:paraId="6D0A074A" w14:textId="77777777" w:rsidTr="00514EF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95D7D" w14:textId="1553D4D6" w:rsidR="00597B71" w:rsidRPr="00D73D2D" w:rsidRDefault="00597B71" w:rsidP="00514EFA">
            <w:pPr>
              <w:rPr>
                <w:rFonts w:ascii="Calibri" w:hAnsi="Calibri" w:cs="Calibri"/>
                <w:b/>
                <w:bCs/>
                <w:color w:val="000000"/>
                <w:sz w:val="18"/>
                <w:szCs w:val="18"/>
              </w:rPr>
            </w:pPr>
            <w:r w:rsidRPr="00D73D2D">
              <w:rPr>
                <w:rFonts w:ascii="Calibri" w:hAnsi="Calibri" w:cs="Calibri"/>
                <w:b/>
                <w:bCs/>
                <w:color w:val="000000"/>
                <w:sz w:val="18"/>
                <w:szCs w:val="18"/>
              </w:rPr>
              <w:t>A</w:t>
            </w:r>
            <w:r w:rsidR="009A4AC5">
              <w:rPr>
                <w:rFonts w:ascii="Calibri" w:hAnsi="Calibri" w:cs="Calibri"/>
                <w:b/>
                <w:bCs/>
                <w:color w:val="000000"/>
                <w:sz w:val="18"/>
                <w:szCs w:val="18"/>
              </w:rPr>
              <w:t>2</w:t>
            </w:r>
          </w:p>
        </w:tc>
        <w:tc>
          <w:tcPr>
            <w:tcW w:w="5419" w:type="dxa"/>
            <w:tcBorders>
              <w:top w:val="single" w:sz="8" w:space="0" w:color="auto"/>
              <w:left w:val="single" w:sz="4" w:space="0" w:color="auto"/>
              <w:bottom w:val="single" w:sz="8" w:space="0" w:color="auto"/>
              <w:right w:val="nil"/>
            </w:tcBorders>
            <w:shd w:val="clear" w:color="auto" w:fill="auto"/>
            <w:vAlign w:val="center"/>
            <w:hideMark/>
          </w:tcPr>
          <w:p w14:paraId="005444B4" w14:textId="48BE45BA" w:rsidR="00597B71" w:rsidRPr="00514EFA" w:rsidRDefault="009A4AC5" w:rsidP="00514EFA">
            <w:pPr>
              <w:rPr>
                <w:rFonts w:ascii="Calibri" w:hAnsi="Calibri" w:cs="Calibri"/>
                <w:b/>
                <w:bCs/>
                <w:color w:val="000000"/>
                <w:sz w:val="18"/>
                <w:szCs w:val="18"/>
                <w:lang w:val="en-GB"/>
              </w:rPr>
            </w:pPr>
            <w:r>
              <w:rPr>
                <w:rFonts w:ascii="Calibri" w:hAnsi="Calibri" w:cs="Calibri"/>
                <w:b/>
                <w:bCs/>
                <w:color w:val="000000"/>
                <w:sz w:val="18"/>
                <w:szCs w:val="18"/>
                <w:lang w:val="en-GB"/>
              </w:rPr>
              <w:t>Traveling time</w:t>
            </w:r>
          </w:p>
        </w:tc>
        <w:tc>
          <w:tcPr>
            <w:tcW w:w="124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BDC5B06" w14:textId="77777777" w:rsidR="00597B71" w:rsidRPr="00620913" w:rsidRDefault="00597B71" w:rsidP="00514EFA">
            <w:pPr>
              <w:jc w:val="center"/>
              <w:rPr>
                <w:rFonts w:ascii="Calibri" w:hAnsi="Calibri" w:cs="Calibri"/>
                <w:b/>
                <w:bCs/>
                <w:color w:val="000000"/>
                <w:sz w:val="18"/>
                <w:szCs w:val="18"/>
              </w:rPr>
            </w:pPr>
          </w:p>
        </w:tc>
        <w:tc>
          <w:tcPr>
            <w:tcW w:w="1025" w:type="dxa"/>
            <w:tcBorders>
              <w:top w:val="single" w:sz="8" w:space="0" w:color="auto"/>
              <w:left w:val="nil"/>
              <w:bottom w:val="single" w:sz="8" w:space="0" w:color="auto"/>
              <w:right w:val="single" w:sz="4" w:space="0" w:color="auto"/>
            </w:tcBorders>
            <w:shd w:val="clear" w:color="auto" w:fill="auto"/>
            <w:noWrap/>
            <w:vAlign w:val="center"/>
            <w:hideMark/>
          </w:tcPr>
          <w:p w14:paraId="0F9CC06A" w14:textId="4260BDE8" w:rsidR="00597B71" w:rsidRPr="00D73D2D" w:rsidRDefault="00597B71" w:rsidP="00514EFA">
            <w:pPr>
              <w:rPr>
                <w:rFonts w:ascii="Calibri" w:hAnsi="Calibri" w:cs="Calibri"/>
                <w:color w:val="000000"/>
                <w:sz w:val="18"/>
                <w:szCs w:val="18"/>
              </w:rPr>
            </w:pPr>
            <w:r w:rsidRPr="00D73D2D">
              <w:rPr>
                <w:rFonts w:ascii="Calibri" w:hAnsi="Calibri" w:cs="Calibri"/>
                <w:color w:val="000000"/>
                <w:sz w:val="18"/>
                <w:szCs w:val="18"/>
              </w:rPr>
              <w:t xml:space="preserve"> €   </w:t>
            </w:r>
            <w:r>
              <w:rPr>
                <w:rFonts w:ascii="Calibri" w:hAnsi="Calibri" w:cs="Calibri"/>
                <w:color w:val="000000"/>
                <w:sz w:val="18"/>
                <w:szCs w:val="18"/>
              </w:rPr>
              <w:t>1</w:t>
            </w:r>
            <w:r w:rsidR="009A4AC5">
              <w:rPr>
                <w:rFonts w:ascii="Calibri" w:hAnsi="Calibri" w:cs="Calibri"/>
                <w:color w:val="000000"/>
                <w:sz w:val="18"/>
                <w:szCs w:val="18"/>
              </w:rPr>
              <w:t>46</w:t>
            </w:r>
            <w:r w:rsidRPr="00D73D2D">
              <w:rPr>
                <w:rFonts w:ascii="Calibri" w:hAnsi="Calibri" w:cs="Calibri"/>
                <w:color w:val="000000"/>
                <w:sz w:val="18"/>
                <w:szCs w:val="18"/>
              </w:rPr>
              <w:t xml:space="preserve">,00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B8E4C19" w14:textId="77777777" w:rsidR="00597B71" w:rsidRPr="00D73D2D" w:rsidRDefault="00597B71" w:rsidP="00514EFA">
            <w:pPr>
              <w:rPr>
                <w:rFonts w:ascii="Calibri" w:hAnsi="Calibri" w:cs="Calibri"/>
                <w:b/>
                <w:bCs/>
                <w:color w:val="000000"/>
                <w:sz w:val="18"/>
                <w:szCs w:val="18"/>
              </w:rPr>
            </w:pPr>
            <w:r w:rsidRPr="00D73D2D">
              <w:rPr>
                <w:rFonts w:ascii="Calibri" w:hAnsi="Calibri" w:cs="Calibri"/>
                <w:b/>
                <w:bCs/>
                <w:color w:val="000000"/>
                <w:sz w:val="18"/>
                <w:szCs w:val="18"/>
              </w:rPr>
              <w:t xml:space="preserve"> €    </w:t>
            </w:r>
          </w:p>
        </w:tc>
      </w:tr>
      <w:tr w:rsidR="00597B71" w:rsidRPr="00D73D2D" w14:paraId="65B1AC98" w14:textId="77777777" w:rsidTr="00514EFA">
        <w:trPr>
          <w:trHeight w:val="510"/>
        </w:trPr>
        <w:tc>
          <w:tcPr>
            <w:tcW w:w="960" w:type="dxa"/>
            <w:tcBorders>
              <w:top w:val="single" w:sz="4" w:space="0" w:color="auto"/>
              <w:left w:val="nil"/>
              <w:bottom w:val="nil"/>
              <w:right w:val="nil"/>
            </w:tcBorders>
            <w:shd w:val="clear" w:color="auto" w:fill="auto"/>
            <w:noWrap/>
            <w:vAlign w:val="center"/>
          </w:tcPr>
          <w:p w14:paraId="34C6822B" w14:textId="77777777" w:rsidR="00597B71" w:rsidRPr="00D73D2D" w:rsidRDefault="00597B71" w:rsidP="00514EFA">
            <w:pPr>
              <w:rPr>
                <w:rFonts w:ascii="Calibri" w:hAnsi="Calibri" w:cs="Calibri"/>
                <w:color w:val="000000"/>
                <w:sz w:val="18"/>
                <w:szCs w:val="18"/>
              </w:rPr>
            </w:pPr>
          </w:p>
        </w:tc>
        <w:tc>
          <w:tcPr>
            <w:tcW w:w="5419" w:type="dxa"/>
            <w:tcBorders>
              <w:top w:val="nil"/>
              <w:left w:val="nil"/>
              <w:bottom w:val="nil"/>
              <w:right w:val="nil"/>
            </w:tcBorders>
            <w:shd w:val="clear" w:color="auto" w:fill="auto"/>
            <w:vAlign w:val="center"/>
          </w:tcPr>
          <w:p w14:paraId="3E7C6ED5" w14:textId="77777777" w:rsidR="00597B71" w:rsidRPr="00514EFA" w:rsidRDefault="00597B71" w:rsidP="00514EFA">
            <w:pPr>
              <w:rPr>
                <w:rFonts w:ascii="Calibri" w:hAnsi="Calibri" w:cs="Calibri"/>
                <w:color w:val="000000"/>
                <w:sz w:val="18"/>
                <w:szCs w:val="18"/>
                <w:lang w:val="en-GB"/>
              </w:rPr>
            </w:pPr>
          </w:p>
        </w:tc>
        <w:tc>
          <w:tcPr>
            <w:tcW w:w="1243" w:type="dxa"/>
            <w:tcBorders>
              <w:top w:val="nil"/>
              <w:left w:val="nil"/>
              <w:bottom w:val="nil"/>
              <w:right w:val="nil"/>
            </w:tcBorders>
            <w:shd w:val="clear" w:color="auto" w:fill="auto"/>
            <w:noWrap/>
            <w:vAlign w:val="center"/>
          </w:tcPr>
          <w:p w14:paraId="46B4B898" w14:textId="77777777" w:rsidR="00597B71" w:rsidRPr="00F10148" w:rsidRDefault="00597B71" w:rsidP="00514EFA">
            <w:pPr>
              <w:jc w:val="center"/>
              <w:rPr>
                <w:rFonts w:ascii="Calibri" w:hAnsi="Calibri" w:cs="Calibri"/>
                <w:color w:val="000000"/>
                <w:sz w:val="18"/>
                <w:szCs w:val="18"/>
              </w:rPr>
            </w:pPr>
          </w:p>
        </w:tc>
        <w:tc>
          <w:tcPr>
            <w:tcW w:w="1025" w:type="dxa"/>
            <w:tcBorders>
              <w:top w:val="nil"/>
              <w:left w:val="nil"/>
              <w:bottom w:val="nil"/>
              <w:right w:val="nil"/>
            </w:tcBorders>
            <w:shd w:val="clear" w:color="auto" w:fill="auto"/>
            <w:noWrap/>
            <w:vAlign w:val="center"/>
          </w:tcPr>
          <w:p w14:paraId="1E1A898B" w14:textId="77777777" w:rsidR="00597B71" w:rsidRPr="00D73D2D" w:rsidRDefault="00597B71" w:rsidP="00514EFA">
            <w:pPr>
              <w:jc w:val="center"/>
              <w:rPr>
                <w:rFonts w:ascii="Calibri" w:hAnsi="Calibri" w:cs="Calibri"/>
                <w:color w:val="000000"/>
                <w:sz w:val="18"/>
                <w:szCs w:val="18"/>
              </w:rPr>
            </w:pPr>
          </w:p>
        </w:tc>
        <w:tc>
          <w:tcPr>
            <w:tcW w:w="1134" w:type="dxa"/>
            <w:tcBorders>
              <w:top w:val="nil"/>
              <w:left w:val="nil"/>
              <w:bottom w:val="nil"/>
              <w:right w:val="nil"/>
            </w:tcBorders>
            <w:shd w:val="clear" w:color="auto" w:fill="auto"/>
            <w:noWrap/>
            <w:vAlign w:val="center"/>
            <w:hideMark/>
          </w:tcPr>
          <w:p w14:paraId="7B1B69AB" w14:textId="77777777" w:rsidR="00597B71" w:rsidRPr="00D73D2D" w:rsidRDefault="00597B71" w:rsidP="00514EFA">
            <w:pPr>
              <w:rPr>
                <w:sz w:val="18"/>
                <w:szCs w:val="18"/>
              </w:rPr>
            </w:pPr>
          </w:p>
        </w:tc>
      </w:tr>
    </w:tbl>
    <w:p w14:paraId="6C373D93" w14:textId="77777777" w:rsidR="00597B71" w:rsidRPr="008C6366" w:rsidRDefault="00597B71" w:rsidP="00597B71">
      <w:pPr>
        <w:rPr>
          <w:rFonts w:ascii="Calaibri" w:hAnsi="Calaibri" w:cs="Arial"/>
          <w:sz w:val="22"/>
          <w:szCs w:val="22"/>
          <w:lang w:val="en-GB"/>
        </w:rPr>
      </w:pPr>
      <w:r w:rsidRPr="008C6366">
        <w:rPr>
          <w:rFonts w:ascii="Calaibri" w:hAnsi="Calaibri" w:cs="Arial"/>
          <w:sz w:val="22"/>
          <w:szCs w:val="22"/>
          <w:lang w:val="en-GB"/>
        </w:rPr>
        <w:tab/>
      </w:r>
      <w:r w:rsidRPr="008C6366">
        <w:rPr>
          <w:rFonts w:ascii="Calaibri" w:hAnsi="Calaibri" w:cs="Arial"/>
          <w:sz w:val="22"/>
          <w:szCs w:val="22"/>
          <w:lang w:val="en-GB"/>
        </w:rPr>
        <w:tab/>
      </w:r>
      <w:r w:rsidRPr="008C6366">
        <w:rPr>
          <w:rFonts w:ascii="Calaibri" w:hAnsi="Calaibri" w:cs="Arial"/>
          <w:sz w:val="22"/>
          <w:szCs w:val="22"/>
          <w:lang w:val="en-GB"/>
        </w:rPr>
        <w:tab/>
      </w:r>
      <w:r w:rsidRPr="008C6366">
        <w:rPr>
          <w:rFonts w:ascii="Calaibri" w:hAnsi="Calaibri" w:cs="Arial"/>
          <w:sz w:val="22"/>
          <w:szCs w:val="22"/>
          <w:lang w:val="en-GB"/>
        </w:rPr>
        <w:tab/>
      </w:r>
      <w:r w:rsidRPr="008C6366">
        <w:rPr>
          <w:rFonts w:ascii="Calaibri" w:hAnsi="Calaibri" w:cs="Arial"/>
          <w:sz w:val="22"/>
          <w:szCs w:val="22"/>
          <w:lang w:val="en-GB"/>
        </w:rPr>
        <w:tab/>
      </w:r>
      <w:r w:rsidRPr="008C6366">
        <w:rPr>
          <w:rFonts w:ascii="Calaibri" w:hAnsi="Calaibri" w:cs="Arial"/>
          <w:sz w:val="22"/>
          <w:szCs w:val="22"/>
          <w:lang w:val="en-GB"/>
        </w:rPr>
        <w:tab/>
      </w:r>
      <w:r w:rsidRPr="008C6366">
        <w:rPr>
          <w:rFonts w:ascii="Calaibri" w:hAnsi="Calaibri" w:cs="Arial"/>
          <w:sz w:val="22"/>
          <w:szCs w:val="22"/>
          <w:lang w:val="en-GB"/>
        </w:rPr>
        <w:tab/>
      </w:r>
    </w:p>
    <w:p w14:paraId="25535794" w14:textId="77777777" w:rsidR="009A4AC5" w:rsidRDefault="00597B71" w:rsidP="00597B71">
      <w:pPr>
        <w:rPr>
          <w:rFonts w:ascii="Calaibri" w:hAnsi="Calaibri" w:cs="Arial"/>
          <w:sz w:val="22"/>
          <w:szCs w:val="22"/>
          <w:lang w:val="en-GB"/>
        </w:rPr>
      </w:pPr>
      <w:r w:rsidRPr="00840318">
        <w:rPr>
          <w:rFonts w:ascii="Calaibri" w:hAnsi="Calaibri" w:cs="Arial"/>
          <w:b/>
          <w:bCs/>
          <w:sz w:val="22"/>
          <w:szCs w:val="22"/>
          <w:lang w:val="en-GB"/>
        </w:rPr>
        <w:t>The timeframes listed represent the maximum estimated hours</w:t>
      </w:r>
      <w:r w:rsidRPr="007505D1">
        <w:rPr>
          <w:rFonts w:ascii="Calaibri" w:hAnsi="Calaibri" w:cs="Arial"/>
          <w:sz w:val="22"/>
          <w:szCs w:val="22"/>
          <w:lang w:val="en-GB"/>
        </w:rPr>
        <w:t xml:space="preserve"> needed to achieve the stated service objective</w:t>
      </w:r>
      <w:r>
        <w:rPr>
          <w:rFonts w:ascii="Calaibri" w:hAnsi="Calaibri" w:cs="Arial"/>
          <w:sz w:val="22"/>
          <w:szCs w:val="22"/>
          <w:lang w:val="en-GB"/>
        </w:rPr>
        <w:t>s</w:t>
      </w:r>
      <w:r w:rsidRPr="007505D1">
        <w:rPr>
          <w:rFonts w:ascii="Calaibri" w:hAnsi="Calaibri" w:cs="Arial"/>
          <w:sz w:val="22"/>
          <w:szCs w:val="22"/>
          <w:lang w:val="en-GB"/>
        </w:rPr>
        <w:t xml:space="preserve">. </w:t>
      </w:r>
      <w:r w:rsidRPr="00796294">
        <w:rPr>
          <w:rFonts w:ascii="Calaibri" w:hAnsi="Calaibri" w:cs="Arial"/>
          <w:b/>
          <w:bCs/>
          <w:sz w:val="22"/>
          <w:szCs w:val="22"/>
          <w:lang w:val="en-GB"/>
        </w:rPr>
        <w:t xml:space="preserve">Invoices will be based on the documented actual time spent on the </w:t>
      </w:r>
      <w:r>
        <w:rPr>
          <w:rFonts w:ascii="Calaibri" w:hAnsi="Calaibri" w:cs="Arial"/>
          <w:b/>
          <w:bCs/>
          <w:sz w:val="22"/>
          <w:szCs w:val="22"/>
          <w:lang w:val="en-GB"/>
        </w:rPr>
        <w:t>given service item</w:t>
      </w:r>
      <w:r w:rsidRPr="007505D1">
        <w:rPr>
          <w:rFonts w:ascii="Calaibri" w:hAnsi="Calaibri" w:cs="Arial"/>
          <w:sz w:val="22"/>
          <w:szCs w:val="22"/>
          <w:lang w:val="en-GB"/>
        </w:rPr>
        <w:t xml:space="preserve">. </w:t>
      </w:r>
      <w:r w:rsidR="009A4AC5">
        <w:rPr>
          <w:rFonts w:ascii="Calaibri" w:hAnsi="Calaibri" w:cs="Arial"/>
          <w:sz w:val="22"/>
          <w:szCs w:val="22"/>
          <w:lang w:val="en-GB"/>
        </w:rPr>
        <w:t xml:space="preserve">Traveling time is invoiced separately. </w:t>
      </w:r>
    </w:p>
    <w:p w14:paraId="1E4221FF" w14:textId="28C4EA0A" w:rsidR="00597B71" w:rsidRDefault="00597B71" w:rsidP="00597B71">
      <w:pPr>
        <w:rPr>
          <w:rFonts w:ascii="Calaibri" w:hAnsi="Calaibri" w:cs="Arial"/>
          <w:sz w:val="22"/>
          <w:szCs w:val="22"/>
          <w:lang w:val="en-GB"/>
        </w:rPr>
      </w:pPr>
      <w:r w:rsidRPr="007505D1">
        <w:rPr>
          <w:rFonts w:ascii="Calaibri" w:hAnsi="Calaibri" w:cs="Arial"/>
          <w:sz w:val="22"/>
          <w:szCs w:val="22"/>
          <w:lang w:val="en-GB"/>
        </w:rPr>
        <w:t>Any additional hours beyond the estimated timeframe will be submitted to the Client for approval and will be charged at the hourly fee specified.</w:t>
      </w:r>
      <w:r>
        <w:rPr>
          <w:rFonts w:ascii="Calaibri" w:hAnsi="Calaibri" w:cs="Arial"/>
          <w:sz w:val="22"/>
          <w:szCs w:val="22"/>
          <w:lang w:val="en-GB"/>
        </w:rPr>
        <w:t xml:space="preserve"> This agreement shall enter into force immediately with written order confirmation and shall remain in force and effect until </w:t>
      </w:r>
    </w:p>
    <w:p w14:paraId="6A1EF532" w14:textId="77777777" w:rsidR="00597B71" w:rsidRDefault="00597B71" w:rsidP="00597B71">
      <w:pPr>
        <w:rPr>
          <w:rFonts w:ascii="Arial" w:hAnsi="Arial" w:cs="Arial"/>
          <w:lang w:val="en-GB"/>
        </w:rPr>
      </w:pPr>
    </w:p>
    <w:p w14:paraId="40B17CE5" w14:textId="77777777" w:rsidR="00597B71" w:rsidRPr="00915FD8" w:rsidRDefault="00597B71" w:rsidP="00597B71">
      <w:pPr>
        <w:rPr>
          <w:rFonts w:ascii="Calaibri" w:hAnsi="Calaibri" w:cs="Arial"/>
          <w:sz w:val="22"/>
          <w:szCs w:val="22"/>
          <w:lang w:val="en-GB"/>
        </w:rPr>
      </w:pPr>
      <w:r w:rsidRPr="00915FD8">
        <w:rPr>
          <w:rFonts w:ascii="Calaibri" w:hAnsi="Calaibri" w:cs="Arial"/>
          <w:sz w:val="22"/>
          <w:szCs w:val="22"/>
          <w:lang w:val="en-GB"/>
        </w:rPr>
        <w:t>All prices mentioned by us are, unless otherwise expressly stated, understood to be exclusive of value added tax (VAT).</w:t>
      </w:r>
    </w:p>
    <w:p w14:paraId="52484D49" w14:textId="77777777" w:rsidR="00597B71" w:rsidRPr="00865B1B" w:rsidRDefault="00597B71" w:rsidP="00597B71">
      <w:pPr>
        <w:rPr>
          <w:rFonts w:ascii="Calaibri" w:hAnsi="Calaibri" w:cs="Arial"/>
          <w:b/>
          <w:bCs/>
          <w:sz w:val="22"/>
          <w:szCs w:val="22"/>
          <w:lang w:val="en-GB"/>
        </w:rPr>
      </w:pPr>
      <w:r w:rsidRPr="00865B1B">
        <w:rPr>
          <w:rFonts w:ascii="Calaibri" w:hAnsi="Calaibri" w:cs="Arial"/>
          <w:b/>
          <w:bCs/>
          <w:sz w:val="22"/>
          <w:szCs w:val="22"/>
          <w:lang w:val="en-GB"/>
        </w:rPr>
        <w:t>Invoices are issued latest on the 15th of the following month.</w:t>
      </w:r>
    </w:p>
    <w:p w14:paraId="3AC9D1BF" w14:textId="77777777" w:rsidR="00597B71" w:rsidRPr="00865B1B" w:rsidRDefault="00597B71" w:rsidP="00597B71">
      <w:pPr>
        <w:rPr>
          <w:rFonts w:ascii="Calaibri" w:hAnsi="Calaibri" w:cs="Arial"/>
          <w:b/>
          <w:bCs/>
          <w:sz w:val="22"/>
          <w:szCs w:val="22"/>
          <w:lang w:val="en-GB"/>
        </w:rPr>
      </w:pPr>
      <w:r w:rsidRPr="00865B1B">
        <w:rPr>
          <w:rFonts w:ascii="Calaibri" w:hAnsi="Calaibri" w:cs="Arial"/>
          <w:b/>
          <w:bCs/>
          <w:sz w:val="22"/>
          <w:szCs w:val="22"/>
          <w:lang w:val="en-GB"/>
        </w:rPr>
        <w:t>Payment Terms</w:t>
      </w:r>
      <w:r>
        <w:rPr>
          <w:rFonts w:ascii="Calaibri" w:hAnsi="Calaibri" w:cs="Arial"/>
          <w:b/>
          <w:bCs/>
          <w:sz w:val="22"/>
          <w:szCs w:val="22"/>
          <w:lang w:val="en-GB"/>
        </w:rPr>
        <w:t>:</w:t>
      </w:r>
    </w:p>
    <w:p w14:paraId="6B805943" w14:textId="77777777" w:rsidR="00597B71" w:rsidRPr="00865B1B" w:rsidRDefault="00597B71" w:rsidP="00597B71">
      <w:pPr>
        <w:rPr>
          <w:rFonts w:ascii="Calaibri" w:hAnsi="Calaibri" w:cs="Arial"/>
          <w:b/>
          <w:bCs/>
          <w:sz w:val="22"/>
          <w:szCs w:val="22"/>
          <w:lang w:val="en-GB"/>
        </w:rPr>
      </w:pPr>
      <w:r>
        <w:rPr>
          <w:rFonts w:ascii="Calaibri" w:hAnsi="Calaibri" w:cs="Arial"/>
          <w:b/>
          <w:bCs/>
          <w:sz w:val="22"/>
          <w:szCs w:val="22"/>
          <w:lang w:val="en-GB"/>
        </w:rPr>
        <w:t>W</w:t>
      </w:r>
      <w:r w:rsidRPr="00865B1B">
        <w:rPr>
          <w:rFonts w:ascii="Calaibri" w:hAnsi="Calaibri" w:cs="Arial"/>
          <w:b/>
          <w:bCs/>
          <w:sz w:val="22"/>
          <w:szCs w:val="22"/>
          <w:lang w:val="en-GB"/>
        </w:rPr>
        <w:t>ithin 14 days of receipt of invoice, without any deduction and free of charges.</w:t>
      </w:r>
    </w:p>
    <w:p w14:paraId="35ED471E" w14:textId="77777777" w:rsidR="00597B71" w:rsidRPr="00915FD8" w:rsidRDefault="00597B71" w:rsidP="00597B71">
      <w:pPr>
        <w:rPr>
          <w:rFonts w:ascii="Calaibri" w:hAnsi="Calaibri" w:cs="Arial"/>
          <w:sz w:val="22"/>
          <w:szCs w:val="22"/>
          <w:lang w:val="en-GB"/>
        </w:rPr>
      </w:pPr>
    </w:p>
    <w:p w14:paraId="6ACE1367" w14:textId="77777777" w:rsidR="00597B71" w:rsidRPr="00915FD8" w:rsidRDefault="00597B71" w:rsidP="00597B71">
      <w:pPr>
        <w:rPr>
          <w:rFonts w:ascii="Calaibri" w:hAnsi="Calaibri" w:cs="Arial"/>
          <w:sz w:val="22"/>
          <w:szCs w:val="22"/>
          <w:lang w:val="en-GB"/>
        </w:rPr>
      </w:pPr>
    </w:p>
    <w:p w14:paraId="7ECB3786" w14:textId="77777777" w:rsidR="00597B71" w:rsidRPr="00915FD8" w:rsidRDefault="00597B71" w:rsidP="00597B71">
      <w:pPr>
        <w:rPr>
          <w:rFonts w:ascii="Calaibri" w:hAnsi="Calaibri" w:cs="Arial"/>
          <w:sz w:val="22"/>
          <w:szCs w:val="22"/>
          <w:lang w:val="en-GB"/>
        </w:rPr>
      </w:pPr>
      <w:r w:rsidRPr="00915FD8">
        <w:rPr>
          <w:rFonts w:ascii="Calaibri" w:hAnsi="Calaibri" w:cs="Arial"/>
          <w:sz w:val="22"/>
          <w:szCs w:val="22"/>
          <w:lang w:val="en-GB"/>
        </w:rPr>
        <w:t>Our offers are non-binding. The contract is only considered concluded upon the dispatch of a written order confirmation by us.</w:t>
      </w:r>
    </w:p>
    <w:p w14:paraId="551DF91A" w14:textId="77777777" w:rsidR="00597B71" w:rsidRDefault="00597B71" w:rsidP="00597B71">
      <w:pPr>
        <w:rPr>
          <w:rFonts w:ascii="Calaibri" w:hAnsi="Calaibri" w:cs="Arial"/>
          <w:sz w:val="22"/>
          <w:szCs w:val="22"/>
          <w:lang w:val="en-GB"/>
        </w:rPr>
      </w:pPr>
    </w:p>
    <w:p w14:paraId="79EA4A29" w14:textId="77777777" w:rsidR="00597B71" w:rsidRPr="00915FD8" w:rsidRDefault="00597B71" w:rsidP="00597B71">
      <w:pPr>
        <w:rPr>
          <w:rFonts w:ascii="Calaibri" w:hAnsi="Calaibri" w:cs="Arial"/>
          <w:sz w:val="22"/>
          <w:szCs w:val="22"/>
          <w:lang w:val="en-GB"/>
        </w:rPr>
      </w:pPr>
      <w:r w:rsidRPr="00915FD8">
        <w:rPr>
          <w:rFonts w:ascii="Calaibri" w:hAnsi="Calaibri" w:cs="Arial"/>
          <w:sz w:val="22"/>
          <w:szCs w:val="22"/>
          <w:lang w:val="en-GB"/>
        </w:rPr>
        <w:t>Clause on Value Maintenance</w:t>
      </w:r>
      <w:r>
        <w:rPr>
          <w:rFonts w:ascii="Calaibri" w:hAnsi="Calaibri" w:cs="Arial"/>
          <w:sz w:val="22"/>
          <w:szCs w:val="22"/>
          <w:lang w:val="en-GB"/>
        </w:rPr>
        <w:t>:</w:t>
      </w:r>
    </w:p>
    <w:p w14:paraId="2C2C006E" w14:textId="4AAEC525" w:rsidR="00597B71" w:rsidRPr="00915FD8" w:rsidRDefault="00597B71" w:rsidP="00597B71">
      <w:pPr>
        <w:rPr>
          <w:rFonts w:ascii="Calaibri" w:hAnsi="Calaibri" w:cs="Arial"/>
          <w:sz w:val="22"/>
          <w:szCs w:val="22"/>
          <w:lang w:val="en-GB"/>
        </w:rPr>
      </w:pPr>
      <w:r w:rsidRPr="00915FD8">
        <w:rPr>
          <w:rFonts w:ascii="Calaibri" w:hAnsi="Calaibri" w:cs="Arial"/>
          <w:sz w:val="22"/>
          <w:szCs w:val="22"/>
          <w:lang w:val="en-GB"/>
        </w:rPr>
        <w:t>The explicit agreement is made for the value maintenance of the claim including ancillary claims. The Austrian consumer price index</w:t>
      </w:r>
      <w:r w:rsidR="009416A2">
        <w:rPr>
          <w:rStyle w:val="FootnoteReference"/>
          <w:rFonts w:ascii="Calaibri" w:hAnsi="Calaibri" w:cs="Arial"/>
          <w:sz w:val="22"/>
          <w:szCs w:val="22"/>
          <w:lang w:val="en-GB"/>
        </w:rPr>
        <w:footnoteReference w:id="1"/>
      </w:r>
      <w:r w:rsidRPr="00915FD8">
        <w:rPr>
          <w:rFonts w:ascii="Calaibri" w:hAnsi="Calaibri" w:cs="Arial"/>
          <w:sz w:val="22"/>
          <w:szCs w:val="22"/>
          <w:lang w:val="en-GB"/>
        </w:rPr>
        <w:t>, published monthly by the Austrian statistical central office, or a substitute index, serves as the measure for calculating value maintenance. The index number calculated for the month of conclusion of the contract serves as the reference value for this contract. Fluctuations in the index number up or down of up to 8% are not taken into account and are only charged in full once this margin is exceeded. This margin must be recalculated for each exceedance, both upwards and downwards, with the first index number outside the applicable margin serving as the basis for the recalculation of the claim amount as well as for the calculation of the new margin. The resulting amounts are to be rounded to one decimal place in accordance with commercial practice.</w:t>
      </w:r>
    </w:p>
    <w:p w14:paraId="2F19476A" w14:textId="77777777" w:rsidR="00597B71" w:rsidRPr="003A3665" w:rsidRDefault="00597B71" w:rsidP="00597B71">
      <w:pPr>
        <w:rPr>
          <w:rFonts w:ascii="Calaibri" w:hAnsi="Calaibri" w:cs="Arial"/>
          <w:sz w:val="22"/>
          <w:szCs w:val="22"/>
          <w:lang w:val="en-GB"/>
        </w:rPr>
      </w:pPr>
    </w:p>
    <w:p w14:paraId="77D583F9" w14:textId="77777777" w:rsidR="00597B71" w:rsidRPr="003A3665" w:rsidRDefault="00597B71" w:rsidP="00597B71">
      <w:pPr>
        <w:rPr>
          <w:rFonts w:ascii="Calaibri" w:hAnsi="Calaibri" w:cs="Arial"/>
          <w:sz w:val="22"/>
          <w:szCs w:val="22"/>
          <w:lang w:val="en-GB"/>
        </w:rPr>
      </w:pPr>
      <w:r w:rsidRPr="003A3665">
        <w:rPr>
          <w:rFonts w:ascii="Calaibri" w:hAnsi="Calaibri" w:cs="Arial"/>
          <w:sz w:val="22"/>
          <w:szCs w:val="22"/>
          <w:lang w:val="en-GB"/>
        </w:rPr>
        <w:t>Default Interest</w:t>
      </w:r>
      <w:r>
        <w:rPr>
          <w:rFonts w:ascii="Calaibri" w:hAnsi="Calaibri" w:cs="Arial"/>
          <w:sz w:val="22"/>
          <w:szCs w:val="22"/>
          <w:lang w:val="en-GB"/>
        </w:rPr>
        <w:t>:</w:t>
      </w:r>
    </w:p>
    <w:p w14:paraId="5534D8D3" w14:textId="77777777" w:rsidR="00597B71" w:rsidRPr="003A3665" w:rsidRDefault="00597B71" w:rsidP="00597B71">
      <w:pPr>
        <w:rPr>
          <w:rFonts w:ascii="Calaibri" w:hAnsi="Calaibri" w:cs="Arial"/>
          <w:sz w:val="22"/>
          <w:szCs w:val="22"/>
          <w:lang w:val="en-GB"/>
        </w:rPr>
      </w:pPr>
      <w:r w:rsidRPr="003A3665">
        <w:rPr>
          <w:rFonts w:ascii="Calaibri" w:hAnsi="Calaibri" w:cs="Arial"/>
          <w:sz w:val="22"/>
          <w:szCs w:val="22"/>
          <w:lang w:val="en-GB"/>
        </w:rPr>
        <w:t>Even in the case of non-culpable payment default by the Client, we are entitled to charge default interest at a rate of 10% above the base interest rate per annum; this does not affect claims for compensation for proven higher interest rates.</w:t>
      </w:r>
    </w:p>
    <w:p w14:paraId="676EE9BF" w14:textId="77777777" w:rsidR="00597B71" w:rsidRDefault="00597B71" w:rsidP="00597B71">
      <w:pPr>
        <w:rPr>
          <w:rFonts w:ascii="Calaibri" w:hAnsi="Calaibri" w:cs="Arial"/>
          <w:sz w:val="22"/>
          <w:szCs w:val="22"/>
          <w:lang w:val="en-GB"/>
        </w:rPr>
      </w:pPr>
    </w:p>
    <w:p w14:paraId="250A2F16" w14:textId="77777777" w:rsidR="00597B71" w:rsidRPr="003A3665" w:rsidRDefault="00597B71" w:rsidP="00597B71">
      <w:pPr>
        <w:rPr>
          <w:rFonts w:ascii="Calaibri" w:hAnsi="Calaibri" w:cs="Arial"/>
          <w:sz w:val="22"/>
          <w:szCs w:val="22"/>
          <w:lang w:val="en-GB"/>
        </w:rPr>
      </w:pPr>
      <w:r w:rsidRPr="003A3665">
        <w:rPr>
          <w:rFonts w:ascii="Calaibri" w:hAnsi="Calaibri" w:cs="Arial"/>
          <w:sz w:val="22"/>
          <w:szCs w:val="22"/>
          <w:lang w:val="en-GB"/>
        </w:rPr>
        <w:t>Our General Terms and Conditions:</w:t>
      </w:r>
    </w:p>
    <w:p w14:paraId="7EDDA05A" w14:textId="4F1473B2" w:rsidR="00597B71" w:rsidRDefault="00597B71" w:rsidP="00597B71">
      <w:pPr>
        <w:rPr>
          <w:rFonts w:ascii="Calaibri" w:hAnsi="Calaibri" w:cs="Arial"/>
          <w:sz w:val="22"/>
          <w:szCs w:val="22"/>
          <w:lang w:val="en-GB"/>
        </w:rPr>
      </w:pPr>
      <w:r w:rsidRPr="003A3665">
        <w:rPr>
          <w:rFonts w:ascii="Calaibri" w:hAnsi="Calaibri" w:cs="Arial"/>
          <w:sz w:val="22"/>
          <w:szCs w:val="22"/>
          <w:lang w:val="en-GB"/>
        </w:rPr>
        <w:t xml:space="preserve">For all legal transactions between the client and the Consultant, exclusively the General Terms and Conditions described on the following pages shall apply. The version valid at the time of contract conclusion shall be decisive. The contract conditions on the following pages shall become part of this contract upon the Consultant's signature. These General Terms and Conditions shall also apply to all future contractual relationships, even if not expressly referred to in supplementary contracts. Contrary general terms and conditions of the </w:t>
      </w:r>
      <w:r>
        <w:rPr>
          <w:rFonts w:ascii="Calaibri" w:hAnsi="Calaibri" w:cs="Arial"/>
          <w:sz w:val="22"/>
          <w:szCs w:val="22"/>
          <w:lang w:val="en-GB"/>
        </w:rPr>
        <w:t>C</w:t>
      </w:r>
      <w:r w:rsidRPr="003A3665">
        <w:rPr>
          <w:rFonts w:ascii="Calaibri" w:hAnsi="Calaibri" w:cs="Arial"/>
          <w:sz w:val="22"/>
          <w:szCs w:val="22"/>
          <w:lang w:val="en-GB"/>
        </w:rPr>
        <w:t>lient shall be invalid unless expressly acknowledged in writing by the Consultant. In the event that individual provisions of these General Terms and Conditions are or become ineffective, this shall not affect the validity of the remaining provisions and contracts concluded based on them. The ineffective provision shall be replaced by an effective provision that comes closest in meaning and economic purpose to the ineffective provision.</w:t>
      </w:r>
    </w:p>
    <w:p w14:paraId="54A57067" w14:textId="77777777" w:rsidR="009416A2" w:rsidRDefault="009416A2" w:rsidP="00597B71">
      <w:pPr>
        <w:rPr>
          <w:rFonts w:ascii="Calaibri" w:hAnsi="Calaibri" w:cs="Arial"/>
          <w:sz w:val="22"/>
          <w:szCs w:val="22"/>
          <w:lang w:val="en-GB"/>
        </w:rPr>
      </w:pPr>
    </w:p>
    <w:p w14:paraId="175D9C27" w14:textId="77777777" w:rsidR="00597B71" w:rsidRDefault="00597B71" w:rsidP="00597B71">
      <w:pPr>
        <w:rPr>
          <w:rFonts w:ascii="Calaibri" w:hAnsi="Calaibri" w:cs="Arial"/>
          <w:sz w:val="22"/>
          <w:szCs w:val="22"/>
          <w:lang w:val="en-GB"/>
        </w:rPr>
      </w:pPr>
    </w:p>
    <w:p w14:paraId="0B5F0977" w14:textId="77777777" w:rsidR="009A4AC5" w:rsidRDefault="009A4AC5" w:rsidP="00597B71">
      <w:pPr>
        <w:rPr>
          <w:rFonts w:ascii="Calaibri" w:hAnsi="Calaibri" w:cs="Arial"/>
          <w:sz w:val="22"/>
          <w:szCs w:val="22"/>
          <w:lang w:val="en-GB"/>
        </w:rPr>
      </w:pPr>
    </w:p>
    <w:p w14:paraId="4EB357D5" w14:textId="77777777" w:rsidR="009A4AC5" w:rsidRDefault="009A4AC5" w:rsidP="00597B71">
      <w:pPr>
        <w:rPr>
          <w:rFonts w:ascii="Calaibri" w:hAnsi="Calaibri" w:cs="Arial"/>
          <w:sz w:val="22"/>
          <w:szCs w:val="22"/>
          <w:lang w:val="en-GB"/>
        </w:rPr>
      </w:pPr>
    </w:p>
    <w:p w14:paraId="39340671" w14:textId="77777777" w:rsidR="009A4AC5" w:rsidRDefault="009A4AC5" w:rsidP="00597B71">
      <w:pPr>
        <w:rPr>
          <w:rFonts w:ascii="Calaibri" w:hAnsi="Calaibri" w:cs="Arial"/>
          <w:sz w:val="22"/>
          <w:szCs w:val="22"/>
          <w:lang w:val="en-GB"/>
        </w:rPr>
      </w:pPr>
    </w:p>
    <w:p w14:paraId="2AD812F2" w14:textId="77777777" w:rsidR="009A4AC5" w:rsidRDefault="009A4AC5" w:rsidP="00597B71">
      <w:pPr>
        <w:rPr>
          <w:rFonts w:ascii="Calaibri" w:hAnsi="Calaibri" w:cs="Arial"/>
          <w:sz w:val="22"/>
          <w:szCs w:val="22"/>
          <w:lang w:val="en-GB"/>
        </w:rPr>
      </w:pPr>
    </w:p>
    <w:p w14:paraId="592BF7BB" w14:textId="77777777" w:rsidR="009A4AC5" w:rsidRDefault="009A4AC5" w:rsidP="00597B71">
      <w:pPr>
        <w:rPr>
          <w:rFonts w:ascii="Calaibri" w:hAnsi="Calaibri" w:cs="Arial"/>
          <w:sz w:val="22"/>
          <w:szCs w:val="22"/>
          <w:lang w:val="en-GB"/>
        </w:rPr>
      </w:pPr>
    </w:p>
    <w:p w14:paraId="4BE390C4" w14:textId="77777777" w:rsidR="009A4AC5" w:rsidRDefault="009A4AC5" w:rsidP="00597B71">
      <w:pPr>
        <w:rPr>
          <w:rFonts w:ascii="Calaibri" w:hAnsi="Calaibri" w:cs="Arial"/>
          <w:sz w:val="22"/>
          <w:szCs w:val="22"/>
          <w:lang w:val="en-GB"/>
        </w:rPr>
      </w:pPr>
    </w:p>
    <w:p w14:paraId="6BCB113D" w14:textId="77777777" w:rsidR="00AE7C09" w:rsidRPr="003A3665" w:rsidRDefault="00AE7C09" w:rsidP="00597B71">
      <w:pPr>
        <w:rPr>
          <w:rFonts w:ascii="Calaibri" w:hAnsi="Calaibri" w:cs="Arial"/>
          <w:sz w:val="22"/>
          <w:szCs w:val="22"/>
          <w:lang w:val="en-GB"/>
        </w:rPr>
      </w:pPr>
    </w:p>
    <w:p w14:paraId="7D3C3697" w14:textId="77777777" w:rsidR="00597B71" w:rsidRPr="00E55DCC" w:rsidRDefault="00597B71" w:rsidP="00597B71">
      <w:pPr>
        <w:rPr>
          <w:rFonts w:ascii="Arial" w:hAnsi="Arial" w:cs="Arial"/>
          <w:sz w:val="22"/>
          <w:szCs w:val="22"/>
          <w:lang w:val="en-GB"/>
        </w:rPr>
      </w:pPr>
    </w:p>
    <w:tbl>
      <w:tblPr>
        <w:tblStyle w:val="TableGrid"/>
        <w:tblW w:w="0" w:type="auto"/>
        <w:tblLook w:val="04A0" w:firstRow="1" w:lastRow="0" w:firstColumn="1" w:lastColumn="0" w:noHBand="0" w:noVBand="1"/>
      </w:tblPr>
      <w:tblGrid>
        <w:gridCol w:w="4530"/>
        <w:gridCol w:w="4531"/>
      </w:tblGrid>
      <w:tr w:rsidR="00597B71" w:rsidRPr="009A4AC5" w14:paraId="2F103AFB" w14:textId="77777777" w:rsidTr="009A4AC5">
        <w:tc>
          <w:tcPr>
            <w:tcW w:w="4530" w:type="dxa"/>
          </w:tcPr>
          <w:p w14:paraId="0A07486D" w14:textId="77777777" w:rsidR="00597B71" w:rsidRPr="00DA00CD" w:rsidRDefault="00597B71" w:rsidP="00597B71">
            <w:pPr>
              <w:pStyle w:val="ListParagraph"/>
              <w:numPr>
                <w:ilvl w:val="0"/>
                <w:numId w:val="1"/>
              </w:numPr>
              <w:rPr>
                <w:rFonts w:ascii="Arial" w:hAnsi="Arial" w:cs="Arial"/>
                <w:sz w:val="22"/>
                <w:szCs w:val="22"/>
                <w:lang w:val="en-GB"/>
              </w:rPr>
            </w:pPr>
            <w:r w:rsidRPr="00DA00CD">
              <w:rPr>
                <w:rFonts w:ascii="Arial" w:hAnsi="Arial" w:cs="Arial"/>
                <w:sz w:val="22"/>
                <w:szCs w:val="22"/>
                <w:lang w:val="en-GB"/>
              </w:rPr>
              <w:lastRenderedPageBreak/>
              <w:t>S</w:t>
            </w:r>
            <w:r>
              <w:rPr>
                <w:rFonts w:ascii="Arial" w:hAnsi="Arial" w:cs="Arial"/>
                <w:sz w:val="22"/>
                <w:szCs w:val="22"/>
                <w:lang w:val="en-GB"/>
              </w:rPr>
              <w:t xml:space="preserve">ub-contracting </w:t>
            </w:r>
            <w:r w:rsidRPr="00DA00CD">
              <w:rPr>
                <w:rFonts w:ascii="Arial" w:hAnsi="Arial" w:cs="Arial"/>
                <w:sz w:val="22"/>
                <w:szCs w:val="22"/>
                <w:lang w:val="en-GB"/>
              </w:rPr>
              <w:t>/ Representation</w:t>
            </w:r>
          </w:p>
          <w:p w14:paraId="547243F4" w14:textId="77777777" w:rsidR="00597B71" w:rsidRPr="00C14D77" w:rsidRDefault="00597B71" w:rsidP="00514EFA">
            <w:pPr>
              <w:rPr>
                <w:rFonts w:ascii="Arial" w:hAnsi="Arial" w:cs="Arial"/>
                <w:sz w:val="16"/>
                <w:szCs w:val="16"/>
                <w:lang w:val="en-GB"/>
              </w:rPr>
            </w:pPr>
            <w:r w:rsidRPr="00C14D77">
              <w:rPr>
                <w:rFonts w:ascii="Arial" w:hAnsi="Arial" w:cs="Arial"/>
                <w:sz w:val="16"/>
                <w:szCs w:val="16"/>
                <w:lang w:val="en-GB"/>
              </w:rPr>
              <w:t xml:space="preserve">The </w:t>
            </w:r>
            <w:r>
              <w:rPr>
                <w:rFonts w:ascii="Arial" w:hAnsi="Arial" w:cs="Arial"/>
                <w:sz w:val="16"/>
                <w:szCs w:val="16"/>
                <w:lang w:val="en-GB"/>
              </w:rPr>
              <w:t>Consultant</w:t>
            </w:r>
            <w:r w:rsidRPr="00C14D77">
              <w:rPr>
                <w:rFonts w:ascii="Arial" w:hAnsi="Arial" w:cs="Arial"/>
                <w:sz w:val="16"/>
                <w:szCs w:val="16"/>
                <w:lang w:val="en-GB"/>
              </w:rPr>
              <w:t xml:space="preserve"> </w:t>
            </w:r>
            <w:r>
              <w:rPr>
                <w:rFonts w:ascii="Arial" w:hAnsi="Arial" w:cs="Arial"/>
                <w:sz w:val="16"/>
                <w:szCs w:val="16"/>
                <w:lang w:val="en-GB"/>
              </w:rPr>
              <w:t xml:space="preserve">may sub-contract the SERVICES to other qualified persons, firms, companies, or organizations. In case of assigning or sub-contracting SERVIVES Consultant shall give due notice to the Client. </w:t>
            </w:r>
            <w:r w:rsidRPr="00C14D77">
              <w:rPr>
                <w:rFonts w:ascii="Arial" w:hAnsi="Arial" w:cs="Arial"/>
                <w:sz w:val="16"/>
                <w:szCs w:val="16"/>
                <w:lang w:val="en-GB"/>
              </w:rPr>
              <w:t xml:space="preserve">Payment to the third party will be made exclusively by the </w:t>
            </w:r>
            <w:r>
              <w:rPr>
                <w:rFonts w:ascii="Arial" w:hAnsi="Arial" w:cs="Arial"/>
                <w:sz w:val="16"/>
                <w:szCs w:val="16"/>
                <w:lang w:val="en-GB"/>
              </w:rPr>
              <w:t>Consultant</w:t>
            </w:r>
            <w:r w:rsidRPr="00C14D77">
              <w:rPr>
                <w:rFonts w:ascii="Arial" w:hAnsi="Arial" w:cs="Arial"/>
                <w:sz w:val="16"/>
                <w:szCs w:val="16"/>
                <w:lang w:val="en-GB"/>
              </w:rPr>
              <w:t xml:space="preserve"> themselves. No direct contractual relationship of any kind shall arise between the third party and the client.</w:t>
            </w:r>
          </w:p>
          <w:p w14:paraId="3EA5D6FC" w14:textId="4A4EEC89" w:rsidR="00597B71" w:rsidRPr="00C14D77" w:rsidRDefault="00597B71" w:rsidP="00514EFA">
            <w:pPr>
              <w:rPr>
                <w:rFonts w:ascii="Arial" w:hAnsi="Arial" w:cs="Arial"/>
                <w:sz w:val="22"/>
                <w:szCs w:val="22"/>
                <w:lang w:val="en-GB"/>
              </w:rPr>
            </w:pPr>
            <w:r w:rsidRPr="00C14D77">
              <w:rPr>
                <w:rFonts w:ascii="Arial" w:hAnsi="Arial" w:cs="Arial"/>
                <w:sz w:val="16"/>
                <w:szCs w:val="16"/>
                <w:lang w:val="en-GB"/>
              </w:rPr>
              <w:t xml:space="preserve">The client undertakes not to enter into any business relationship, in any form whatsoever, with persons or companies used by the </w:t>
            </w:r>
            <w:r>
              <w:rPr>
                <w:rFonts w:ascii="Arial" w:hAnsi="Arial" w:cs="Arial"/>
                <w:sz w:val="16"/>
                <w:szCs w:val="16"/>
                <w:lang w:val="en-GB"/>
              </w:rPr>
              <w:t>Consultant</w:t>
            </w:r>
            <w:r w:rsidRPr="00C14D77">
              <w:rPr>
                <w:rFonts w:ascii="Arial" w:hAnsi="Arial" w:cs="Arial"/>
                <w:sz w:val="16"/>
                <w:szCs w:val="16"/>
                <w:lang w:val="en-GB"/>
              </w:rPr>
              <w:t xml:space="preserve"> to </w:t>
            </w:r>
            <w:r w:rsidR="00FE1A3E" w:rsidRPr="00C14D77">
              <w:rPr>
                <w:rFonts w:ascii="Arial" w:hAnsi="Arial" w:cs="Arial"/>
                <w:sz w:val="16"/>
                <w:szCs w:val="16"/>
                <w:lang w:val="en-GB"/>
              </w:rPr>
              <w:t>fulfil</w:t>
            </w:r>
            <w:r w:rsidRPr="00C14D77">
              <w:rPr>
                <w:rFonts w:ascii="Arial" w:hAnsi="Arial" w:cs="Arial"/>
                <w:sz w:val="16"/>
                <w:szCs w:val="16"/>
                <w:lang w:val="en-GB"/>
              </w:rPr>
              <w:t xml:space="preserve"> their contractual obligations during the term of this contractual relationship and for a period of three years after its termination. The </w:t>
            </w:r>
            <w:r>
              <w:rPr>
                <w:rFonts w:ascii="Arial" w:hAnsi="Arial" w:cs="Arial"/>
                <w:sz w:val="16"/>
                <w:szCs w:val="16"/>
                <w:lang w:val="en-GB"/>
              </w:rPr>
              <w:t>C</w:t>
            </w:r>
            <w:r w:rsidRPr="00C14D77">
              <w:rPr>
                <w:rFonts w:ascii="Arial" w:hAnsi="Arial" w:cs="Arial"/>
                <w:sz w:val="16"/>
                <w:szCs w:val="16"/>
                <w:lang w:val="en-GB"/>
              </w:rPr>
              <w:t xml:space="preserve">lient will not engage these persons or companies in particular for consulting services similar to or the same as those offered by the </w:t>
            </w:r>
            <w:r>
              <w:rPr>
                <w:rFonts w:ascii="Arial" w:hAnsi="Arial" w:cs="Arial"/>
                <w:sz w:val="16"/>
                <w:szCs w:val="16"/>
                <w:lang w:val="en-GB"/>
              </w:rPr>
              <w:t>Consultant</w:t>
            </w:r>
            <w:r w:rsidRPr="00C14D77">
              <w:rPr>
                <w:rFonts w:ascii="Arial" w:hAnsi="Arial" w:cs="Arial"/>
                <w:sz w:val="16"/>
                <w:szCs w:val="16"/>
                <w:lang w:val="en-GB"/>
              </w:rPr>
              <w:t>.</w:t>
            </w:r>
          </w:p>
        </w:tc>
        <w:tc>
          <w:tcPr>
            <w:tcW w:w="4531" w:type="dxa"/>
          </w:tcPr>
          <w:p w14:paraId="7B35583C" w14:textId="77777777" w:rsidR="00597B71" w:rsidRPr="00434AB1" w:rsidRDefault="00597B71" w:rsidP="00597B71">
            <w:pPr>
              <w:pStyle w:val="ListParagraph"/>
              <w:numPr>
                <w:ilvl w:val="0"/>
                <w:numId w:val="1"/>
              </w:numPr>
              <w:rPr>
                <w:rFonts w:ascii="Arial" w:hAnsi="Arial" w:cs="Arial"/>
                <w:sz w:val="22"/>
                <w:szCs w:val="22"/>
              </w:rPr>
            </w:pPr>
            <w:r w:rsidRPr="00434AB1">
              <w:rPr>
                <w:rFonts w:ascii="Arial" w:hAnsi="Arial" w:cs="Arial"/>
                <w:sz w:val="22"/>
                <w:szCs w:val="22"/>
              </w:rPr>
              <w:t>Reporting / Obligation to Report</w:t>
            </w:r>
          </w:p>
          <w:p w14:paraId="4886FC11" w14:textId="77777777" w:rsidR="00597B71" w:rsidRPr="00F500DA" w:rsidRDefault="00597B71" w:rsidP="00514EFA">
            <w:pPr>
              <w:rPr>
                <w:rFonts w:ascii="Arial" w:hAnsi="Arial" w:cs="Arial"/>
                <w:sz w:val="16"/>
                <w:szCs w:val="16"/>
                <w:lang w:val="en-GB"/>
              </w:rPr>
            </w:pPr>
            <w:r w:rsidRPr="00781150">
              <w:rPr>
                <w:rFonts w:ascii="Arial" w:hAnsi="Arial" w:cs="Arial"/>
                <w:sz w:val="16"/>
                <w:szCs w:val="16"/>
                <w:lang w:val="en-GB"/>
              </w:rPr>
              <w:t>.</w:t>
            </w:r>
            <w:r w:rsidRPr="00F500DA">
              <w:rPr>
                <w:rFonts w:ascii="Arial" w:hAnsi="Arial" w:cs="Arial"/>
                <w:sz w:val="16"/>
                <w:szCs w:val="16"/>
                <w:lang w:val="en-GB"/>
              </w:rPr>
              <w:t xml:space="preserve"> The </w:t>
            </w:r>
            <w:r>
              <w:rPr>
                <w:rFonts w:ascii="Arial" w:hAnsi="Arial" w:cs="Arial"/>
                <w:sz w:val="16"/>
                <w:szCs w:val="16"/>
                <w:lang w:val="en-GB"/>
              </w:rPr>
              <w:t>Consultant</w:t>
            </w:r>
            <w:r w:rsidRPr="00F500DA">
              <w:rPr>
                <w:rFonts w:ascii="Arial" w:hAnsi="Arial" w:cs="Arial"/>
                <w:sz w:val="16"/>
                <w:szCs w:val="16"/>
                <w:lang w:val="en-GB"/>
              </w:rPr>
              <w:t xml:space="preserve"> undertakes to report to the </w:t>
            </w:r>
            <w:r>
              <w:rPr>
                <w:rFonts w:ascii="Arial" w:hAnsi="Arial" w:cs="Arial"/>
                <w:sz w:val="16"/>
                <w:szCs w:val="16"/>
                <w:lang w:val="en-GB"/>
              </w:rPr>
              <w:t>C</w:t>
            </w:r>
            <w:r w:rsidRPr="00F500DA">
              <w:rPr>
                <w:rFonts w:ascii="Arial" w:hAnsi="Arial" w:cs="Arial"/>
                <w:sz w:val="16"/>
                <w:szCs w:val="16"/>
                <w:lang w:val="en-GB"/>
              </w:rPr>
              <w:t>lient on their work, and if applicable, on the work of any third parties commissioned, in accordance with the progress of the work.</w:t>
            </w:r>
          </w:p>
          <w:p w14:paraId="7D810531" w14:textId="77777777" w:rsidR="00597B71" w:rsidRPr="00F500DA" w:rsidRDefault="00597B71" w:rsidP="00514EFA">
            <w:pPr>
              <w:rPr>
                <w:rFonts w:ascii="Arial" w:hAnsi="Arial" w:cs="Arial"/>
                <w:sz w:val="16"/>
                <w:szCs w:val="16"/>
                <w:lang w:val="en-GB"/>
              </w:rPr>
            </w:pPr>
          </w:p>
          <w:p w14:paraId="59B13404" w14:textId="77777777" w:rsidR="00597B71" w:rsidRPr="00F500DA" w:rsidRDefault="00597B71" w:rsidP="00514EFA">
            <w:pPr>
              <w:rPr>
                <w:rFonts w:ascii="Arial" w:hAnsi="Arial" w:cs="Arial"/>
                <w:sz w:val="16"/>
                <w:szCs w:val="16"/>
                <w:lang w:val="en-GB"/>
              </w:rPr>
            </w:pPr>
            <w:r w:rsidRPr="00F500DA">
              <w:rPr>
                <w:rFonts w:ascii="Arial" w:hAnsi="Arial" w:cs="Arial"/>
                <w:sz w:val="16"/>
                <w:szCs w:val="16"/>
                <w:lang w:val="en-GB"/>
              </w:rPr>
              <w:t>The final report will be provided to the client within a reasonable time frame, i.e., two to four weeks, depending on the nature and scope of the consulting assignment, after completion of the assignment.</w:t>
            </w:r>
          </w:p>
          <w:p w14:paraId="7E256A2C" w14:textId="77777777" w:rsidR="00597B71" w:rsidRPr="00F500DA" w:rsidRDefault="00597B71" w:rsidP="00514EFA">
            <w:pPr>
              <w:rPr>
                <w:rFonts w:ascii="Arial" w:hAnsi="Arial" w:cs="Arial"/>
                <w:sz w:val="16"/>
                <w:szCs w:val="16"/>
                <w:lang w:val="en-GB"/>
              </w:rPr>
            </w:pPr>
          </w:p>
          <w:p w14:paraId="7C670953" w14:textId="77777777" w:rsidR="00597B71" w:rsidRPr="00781150" w:rsidRDefault="00597B71" w:rsidP="00514EFA">
            <w:pPr>
              <w:rPr>
                <w:rFonts w:ascii="Arial" w:hAnsi="Arial" w:cs="Arial"/>
                <w:sz w:val="16"/>
                <w:szCs w:val="16"/>
                <w:lang w:val="en-GB"/>
              </w:rPr>
            </w:pPr>
            <w:r w:rsidRPr="00F500DA">
              <w:rPr>
                <w:rFonts w:ascii="Arial" w:hAnsi="Arial" w:cs="Arial"/>
                <w:sz w:val="16"/>
                <w:szCs w:val="16"/>
                <w:lang w:val="en-GB"/>
              </w:rPr>
              <w:t xml:space="preserve">The </w:t>
            </w:r>
            <w:r>
              <w:rPr>
                <w:rFonts w:ascii="Arial" w:hAnsi="Arial" w:cs="Arial"/>
                <w:sz w:val="16"/>
                <w:szCs w:val="16"/>
                <w:lang w:val="en-GB"/>
              </w:rPr>
              <w:t>Consultant</w:t>
            </w:r>
            <w:r w:rsidRPr="00F500DA">
              <w:rPr>
                <w:rFonts w:ascii="Arial" w:hAnsi="Arial" w:cs="Arial"/>
                <w:sz w:val="16"/>
                <w:szCs w:val="16"/>
                <w:lang w:val="en-GB"/>
              </w:rPr>
              <w:t xml:space="preserve"> is free to exercise their own judgment and act independently and responsibly in the production of the agreed-upon work. They are not bound to a specific place of work or working hours</w:t>
            </w:r>
            <w:r>
              <w:rPr>
                <w:rFonts w:ascii="Arial" w:hAnsi="Arial" w:cs="Arial"/>
                <w:sz w:val="16"/>
                <w:szCs w:val="16"/>
                <w:lang w:val="en-GB"/>
              </w:rPr>
              <w:t>.</w:t>
            </w:r>
          </w:p>
          <w:p w14:paraId="17DDB25C" w14:textId="77777777" w:rsidR="00597B71" w:rsidRPr="00781150" w:rsidRDefault="00597B71" w:rsidP="00514EFA">
            <w:pPr>
              <w:rPr>
                <w:rFonts w:ascii="Arial" w:hAnsi="Arial" w:cs="Arial"/>
                <w:sz w:val="16"/>
                <w:szCs w:val="16"/>
                <w:lang w:val="en-GB"/>
              </w:rPr>
            </w:pPr>
          </w:p>
        </w:tc>
      </w:tr>
      <w:tr w:rsidR="00597B71" w:rsidRPr="009A4AC5" w14:paraId="7E460623" w14:textId="77777777" w:rsidTr="009A4AC5">
        <w:tc>
          <w:tcPr>
            <w:tcW w:w="4530" w:type="dxa"/>
          </w:tcPr>
          <w:p w14:paraId="1CB37492" w14:textId="77777777" w:rsidR="00597B71" w:rsidRPr="007045A1" w:rsidRDefault="00597B71" w:rsidP="00597B71">
            <w:pPr>
              <w:pStyle w:val="ListParagraph"/>
              <w:numPr>
                <w:ilvl w:val="0"/>
                <w:numId w:val="1"/>
              </w:numPr>
              <w:rPr>
                <w:rFonts w:ascii="Arial" w:hAnsi="Arial" w:cs="Arial"/>
                <w:sz w:val="22"/>
                <w:szCs w:val="22"/>
              </w:rPr>
            </w:pPr>
            <w:r w:rsidRPr="003A2D84">
              <w:rPr>
                <w:rFonts w:ascii="Arial" w:hAnsi="Arial" w:cs="Arial"/>
                <w:sz w:val="22"/>
                <w:szCs w:val="22"/>
              </w:rPr>
              <w:t>Liability / Compensation for Damages</w:t>
            </w:r>
          </w:p>
          <w:p w14:paraId="2B8BC029" w14:textId="77777777" w:rsidR="00597B71" w:rsidRPr="00FC5EB0" w:rsidRDefault="00597B71" w:rsidP="00514EFA">
            <w:pPr>
              <w:rPr>
                <w:rFonts w:ascii="Arial" w:hAnsi="Arial" w:cs="Arial"/>
                <w:sz w:val="16"/>
                <w:szCs w:val="16"/>
                <w:lang w:val="en-GB"/>
              </w:rPr>
            </w:pPr>
            <w:r w:rsidRPr="00FC5EB0">
              <w:rPr>
                <w:rFonts w:ascii="Arial" w:hAnsi="Arial" w:cs="Arial"/>
                <w:sz w:val="16"/>
                <w:szCs w:val="16"/>
                <w:lang w:val="en-GB"/>
              </w:rPr>
              <w:t xml:space="preserve">The </w:t>
            </w:r>
            <w:r>
              <w:rPr>
                <w:rFonts w:ascii="Arial" w:hAnsi="Arial" w:cs="Arial"/>
                <w:sz w:val="16"/>
                <w:szCs w:val="16"/>
                <w:lang w:val="en-GB"/>
              </w:rPr>
              <w:t>Consultant</w:t>
            </w:r>
            <w:r w:rsidRPr="00FC5EB0">
              <w:rPr>
                <w:rFonts w:ascii="Arial" w:hAnsi="Arial" w:cs="Arial"/>
                <w:sz w:val="16"/>
                <w:szCs w:val="16"/>
                <w:lang w:val="en-GB"/>
              </w:rPr>
              <w:t xml:space="preserve"> shall only be liable to the </w:t>
            </w:r>
            <w:r>
              <w:rPr>
                <w:rFonts w:ascii="Arial" w:hAnsi="Arial" w:cs="Arial"/>
                <w:sz w:val="16"/>
                <w:szCs w:val="16"/>
                <w:lang w:val="en-GB"/>
              </w:rPr>
              <w:t>C</w:t>
            </w:r>
            <w:r w:rsidRPr="00FC5EB0">
              <w:rPr>
                <w:rFonts w:ascii="Arial" w:hAnsi="Arial" w:cs="Arial"/>
                <w:sz w:val="16"/>
                <w:szCs w:val="16"/>
                <w:lang w:val="en-GB"/>
              </w:rPr>
              <w:t xml:space="preserve">lient for damages - except for personal injury - in case of gross negligence (intent or gross negligence). This also applies mutatis mutandis to damages arising from third parties engaged by the </w:t>
            </w:r>
            <w:r>
              <w:rPr>
                <w:rFonts w:ascii="Arial" w:hAnsi="Arial" w:cs="Arial"/>
                <w:sz w:val="16"/>
                <w:szCs w:val="16"/>
                <w:lang w:val="en-GB"/>
              </w:rPr>
              <w:t>Consultant</w:t>
            </w:r>
            <w:r w:rsidRPr="00FC5EB0">
              <w:rPr>
                <w:rFonts w:ascii="Arial" w:hAnsi="Arial" w:cs="Arial"/>
                <w:sz w:val="16"/>
                <w:szCs w:val="16"/>
                <w:lang w:val="en-GB"/>
              </w:rPr>
              <w:t>.</w:t>
            </w:r>
          </w:p>
          <w:p w14:paraId="2B57A46F" w14:textId="77777777" w:rsidR="00597B71" w:rsidRPr="00FC5EB0" w:rsidRDefault="00597B71" w:rsidP="00514EFA">
            <w:pPr>
              <w:rPr>
                <w:rFonts w:ascii="Arial" w:hAnsi="Arial" w:cs="Arial"/>
                <w:sz w:val="16"/>
                <w:szCs w:val="16"/>
                <w:lang w:val="en-GB"/>
              </w:rPr>
            </w:pPr>
          </w:p>
          <w:p w14:paraId="5C4C115C" w14:textId="77777777" w:rsidR="00597B71" w:rsidRPr="00FC5EB0" w:rsidRDefault="00597B71" w:rsidP="00514EFA">
            <w:pPr>
              <w:rPr>
                <w:rFonts w:ascii="Arial" w:hAnsi="Arial" w:cs="Arial"/>
                <w:sz w:val="16"/>
                <w:szCs w:val="16"/>
                <w:lang w:val="en-GB"/>
              </w:rPr>
            </w:pPr>
            <w:r w:rsidRPr="00FC5EB0">
              <w:rPr>
                <w:rFonts w:ascii="Arial" w:hAnsi="Arial" w:cs="Arial"/>
                <w:sz w:val="16"/>
                <w:szCs w:val="16"/>
                <w:lang w:val="en-GB"/>
              </w:rPr>
              <w:t xml:space="preserve">Claims for compensation by the </w:t>
            </w:r>
            <w:r>
              <w:rPr>
                <w:rFonts w:ascii="Arial" w:hAnsi="Arial" w:cs="Arial"/>
                <w:sz w:val="16"/>
                <w:szCs w:val="16"/>
                <w:lang w:val="en-GB"/>
              </w:rPr>
              <w:t>C</w:t>
            </w:r>
            <w:r w:rsidRPr="00FC5EB0">
              <w:rPr>
                <w:rFonts w:ascii="Arial" w:hAnsi="Arial" w:cs="Arial"/>
                <w:sz w:val="16"/>
                <w:szCs w:val="16"/>
                <w:lang w:val="en-GB"/>
              </w:rPr>
              <w:t>lient can only be asserted in court within six months from the time of knowledge of the damage and the person causing the damage, but no later than three years after the event giving rise to the claim.</w:t>
            </w:r>
          </w:p>
          <w:p w14:paraId="6D42EADC" w14:textId="77777777" w:rsidR="00597B71" w:rsidRPr="00FC5EB0" w:rsidRDefault="00597B71" w:rsidP="00514EFA">
            <w:pPr>
              <w:rPr>
                <w:rFonts w:ascii="Arial" w:hAnsi="Arial" w:cs="Arial"/>
                <w:sz w:val="16"/>
                <w:szCs w:val="16"/>
                <w:lang w:val="en-GB"/>
              </w:rPr>
            </w:pPr>
          </w:p>
          <w:p w14:paraId="3B38DE1A" w14:textId="77777777" w:rsidR="00597B71" w:rsidRPr="00FC5EB0" w:rsidRDefault="00597B71" w:rsidP="00514EFA">
            <w:pPr>
              <w:rPr>
                <w:rFonts w:ascii="Arial" w:hAnsi="Arial" w:cs="Arial"/>
                <w:sz w:val="16"/>
                <w:szCs w:val="16"/>
                <w:lang w:val="en-GB"/>
              </w:rPr>
            </w:pPr>
            <w:r w:rsidRPr="00FC5EB0">
              <w:rPr>
                <w:rFonts w:ascii="Arial" w:hAnsi="Arial" w:cs="Arial"/>
                <w:sz w:val="16"/>
                <w:szCs w:val="16"/>
                <w:lang w:val="en-GB"/>
              </w:rPr>
              <w:t xml:space="preserve">The </w:t>
            </w:r>
            <w:r>
              <w:rPr>
                <w:rFonts w:ascii="Arial" w:hAnsi="Arial" w:cs="Arial"/>
                <w:sz w:val="16"/>
                <w:szCs w:val="16"/>
                <w:lang w:val="en-GB"/>
              </w:rPr>
              <w:t>C</w:t>
            </w:r>
            <w:r w:rsidRPr="00FC5EB0">
              <w:rPr>
                <w:rFonts w:ascii="Arial" w:hAnsi="Arial" w:cs="Arial"/>
                <w:sz w:val="16"/>
                <w:szCs w:val="16"/>
                <w:lang w:val="en-GB"/>
              </w:rPr>
              <w:t xml:space="preserve">lient shall bear the burden of proof that the damage is attributable to the </w:t>
            </w:r>
            <w:r>
              <w:rPr>
                <w:rFonts w:ascii="Arial" w:hAnsi="Arial" w:cs="Arial"/>
                <w:sz w:val="16"/>
                <w:szCs w:val="16"/>
                <w:lang w:val="en-GB"/>
              </w:rPr>
              <w:t>Consultant</w:t>
            </w:r>
            <w:r w:rsidRPr="00FC5EB0">
              <w:rPr>
                <w:rFonts w:ascii="Arial" w:hAnsi="Arial" w:cs="Arial"/>
                <w:sz w:val="16"/>
                <w:szCs w:val="16"/>
                <w:lang w:val="en-GB"/>
              </w:rPr>
              <w:t>'s fault.</w:t>
            </w:r>
          </w:p>
          <w:p w14:paraId="093EBCC4" w14:textId="77777777" w:rsidR="00597B71" w:rsidRDefault="00597B71" w:rsidP="00514EFA">
            <w:pPr>
              <w:rPr>
                <w:rFonts w:ascii="Arial" w:hAnsi="Arial" w:cs="Arial"/>
                <w:sz w:val="16"/>
                <w:szCs w:val="16"/>
                <w:lang w:val="en-GB"/>
              </w:rPr>
            </w:pPr>
            <w:r w:rsidRPr="00FC5EB0">
              <w:rPr>
                <w:rFonts w:ascii="Arial" w:hAnsi="Arial" w:cs="Arial"/>
                <w:sz w:val="16"/>
                <w:szCs w:val="16"/>
                <w:lang w:val="en-GB"/>
              </w:rPr>
              <w:t xml:space="preserve">If the </w:t>
            </w:r>
            <w:r>
              <w:rPr>
                <w:rFonts w:ascii="Arial" w:hAnsi="Arial" w:cs="Arial"/>
                <w:sz w:val="16"/>
                <w:szCs w:val="16"/>
                <w:lang w:val="en-GB"/>
              </w:rPr>
              <w:t>Consultant</w:t>
            </w:r>
            <w:r w:rsidRPr="00FC5EB0">
              <w:rPr>
                <w:rFonts w:ascii="Arial" w:hAnsi="Arial" w:cs="Arial"/>
                <w:sz w:val="16"/>
                <w:szCs w:val="16"/>
                <w:lang w:val="en-GB"/>
              </w:rPr>
              <w:t xml:space="preserve"> performs the work with the assistance of third parties and in this context, warranty and/or liability claims arise against these third parties, the </w:t>
            </w:r>
            <w:r>
              <w:rPr>
                <w:rFonts w:ascii="Arial" w:hAnsi="Arial" w:cs="Arial"/>
                <w:sz w:val="16"/>
                <w:szCs w:val="16"/>
                <w:lang w:val="en-GB"/>
              </w:rPr>
              <w:t>Consultant</w:t>
            </w:r>
            <w:r w:rsidRPr="00FC5EB0">
              <w:rPr>
                <w:rFonts w:ascii="Arial" w:hAnsi="Arial" w:cs="Arial"/>
                <w:sz w:val="16"/>
                <w:szCs w:val="16"/>
                <w:lang w:val="en-GB"/>
              </w:rPr>
              <w:t xml:space="preserve"> assigns these claims to the </w:t>
            </w:r>
            <w:r>
              <w:rPr>
                <w:rFonts w:ascii="Arial" w:hAnsi="Arial" w:cs="Arial"/>
                <w:sz w:val="16"/>
                <w:szCs w:val="16"/>
                <w:lang w:val="en-GB"/>
              </w:rPr>
              <w:t>C</w:t>
            </w:r>
            <w:r w:rsidRPr="00FC5EB0">
              <w:rPr>
                <w:rFonts w:ascii="Arial" w:hAnsi="Arial" w:cs="Arial"/>
                <w:sz w:val="16"/>
                <w:szCs w:val="16"/>
                <w:lang w:val="en-GB"/>
              </w:rPr>
              <w:t xml:space="preserve">lient. In this case, the </w:t>
            </w:r>
            <w:r>
              <w:rPr>
                <w:rFonts w:ascii="Arial" w:hAnsi="Arial" w:cs="Arial"/>
                <w:sz w:val="16"/>
                <w:szCs w:val="16"/>
                <w:lang w:val="en-GB"/>
              </w:rPr>
              <w:t>C</w:t>
            </w:r>
            <w:r w:rsidRPr="00FC5EB0">
              <w:rPr>
                <w:rFonts w:ascii="Arial" w:hAnsi="Arial" w:cs="Arial"/>
                <w:sz w:val="16"/>
                <w:szCs w:val="16"/>
                <w:lang w:val="en-GB"/>
              </w:rPr>
              <w:t>lient shall primarily seek recourse against these third parties.</w:t>
            </w:r>
          </w:p>
          <w:p w14:paraId="46DC5C48" w14:textId="77777777" w:rsidR="00597B71" w:rsidRPr="00702DC4" w:rsidRDefault="00597B71" w:rsidP="00514EFA">
            <w:pPr>
              <w:rPr>
                <w:rFonts w:ascii="Arial" w:hAnsi="Arial" w:cs="Arial"/>
                <w:sz w:val="22"/>
                <w:szCs w:val="22"/>
                <w:lang w:val="en-GB"/>
              </w:rPr>
            </w:pPr>
          </w:p>
        </w:tc>
        <w:tc>
          <w:tcPr>
            <w:tcW w:w="4531" w:type="dxa"/>
          </w:tcPr>
          <w:p w14:paraId="0ECD0F06" w14:textId="77777777" w:rsidR="00597B71" w:rsidRPr="005449E6" w:rsidRDefault="00597B71" w:rsidP="00597B71">
            <w:pPr>
              <w:pStyle w:val="ListParagraph"/>
              <w:numPr>
                <w:ilvl w:val="0"/>
                <w:numId w:val="6"/>
              </w:numPr>
              <w:rPr>
                <w:rFonts w:ascii="Arial" w:hAnsi="Arial" w:cs="Arial"/>
                <w:sz w:val="22"/>
                <w:szCs w:val="22"/>
              </w:rPr>
            </w:pPr>
            <w:r w:rsidRPr="00F500DA">
              <w:rPr>
                <w:rFonts w:ascii="Arial" w:hAnsi="Arial" w:cs="Arial"/>
                <w:sz w:val="22"/>
                <w:szCs w:val="22"/>
              </w:rPr>
              <w:t>Protection of Intellectual Property</w:t>
            </w:r>
          </w:p>
          <w:p w14:paraId="6BC61CFD" w14:textId="77777777" w:rsidR="00597B71" w:rsidRDefault="00597B71" w:rsidP="00514EFA">
            <w:pPr>
              <w:rPr>
                <w:rFonts w:ascii="Arial" w:hAnsi="Arial" w:cs="Arial"/>
                <w:sz w:val="16"/>
                <w:szCs w:val="16"/>
                <w:lang w:val="en-GB"/>
              </w:rPr>
            </w:pPr>
          </w:p>
          <w:p w14:paraId="2A52FE83" w14:textId="77777777" w:rsidR="00597B71" w:rsidRPr="00781150" w:rsidRDefault="00597B71" w:rsidP="00514EFA">
            <w:pPr>
              <w:rPr>
                <w:rFonts w:ascii="Arial" w:hAnsi="Arial" w:cs="Arial"/>
                <w:sz w:val="16"/>
                <w:szCs w:val="16"/>
                <w:lang w:val="en-GB"/>
              </w:rPr>
            </w:pPr>
            <w:r w:rsidRPr="00781150">
              <w:rPr>
                <w:rFonts w:ascii="Arial" w:hAnsi="Arial" w:cs="Arial"/>
                <w:sz w:val="16"/>
                <w:szCs w:val="16"/>
                <w:lang w:val="en-GB"/>
              </w:rPr>
              <w:t xml:space="preserve">The copyrights to the works created by the </w:t>
            </w:r>
            <w:r>
              <w:rPr>
                <w:rFonts w:ascii="Arial" w:hAnsi="Arial" w:cs="Arial"/>
                <w:sz w:val="16"/>
                <w:szCs w:val="16"/>
                <w:lang w:val="en-GB"/>
              </w:rPr>
              <w:t>Consultant</w:t>
            </w:r>
            <w:r w:rsidRPr="00781150">
              <w:rPr>
                <w:rFonts w:ascii="Arial" w:hAnsi="Arial" w:cs="Arial"/>
                <w:sz w:val="16"/>
                <w:szCs w:val="16"/>
                <w:lang w:val="en-GB"/>
              </w:rPr>
              <w:t xml:space="preserve"> and commissioned third parties (in particular offers, reports, analyses, expert opinions, organizational plans, programs, performance descriptions, drafts, calculations, drawings, data carriers, etc.) shall remain with the </w:t>
            </w:r>
            <w:r>
              <w:rPr>
                <w:rFonts w:ascii="Arial" w:hAnsi="Arial" w:cs="Arial"/>
                <w:sz w:val="16"/>
                <w:szCs w:val="16"/>
                <w:lang w:val="en-GB"/>
              </w:rPr>
              <w:t>Consultant</w:t>
            </w:r>
            <w:r w:rsidRPr="00781150">
              <w:rPr>
                <w:rFonts w:ascii="Arial" w:hAnsi="Arial" w:cs="Arial"/>
                <w:sz w:val="16"/>
                <w:szCs w:val="16"/>
                <w:lang w:val="en-GB"/>
              </w:rPr>
              <w:t xml:space="preserve">. The </w:t>
            </w:r>
            <w:r>
              <w:rPr>
                <w:rFonts w:ascii="Arial" w:hAnsi="Arial" w:cs="Arial"/>
                <w:sz w:val="16"/>
                <w:szCs w:val="16"/>
                <w:lang w:val="en-GB"/>
              </w:rPr>
              <w:t>C</w:t>
            </w:r>
            <w:r w:rsidRPr="00781150">
              <w:rPr>
                <w:rFonts w:ascii="Arial" w:hAnsi="Arial" w:cs="Arial"/>
                <w:sz w:val="16"/>
                <w:szCs w:val="16"/>
                <w:lang w:val="en-GB"/>
              </w:rPr>
              <w:t xml:space="preserve">lient is only entitled to use the work (works) for the purposes covered by the contract during and after the termination of the contractual relationship. The </w:t>
            </w:r>
            <w:r>
              <w:rPr>
                <w:rFonts w:ascii="Arial" w:hAnsi="Arial" w:cs="Arial"/>
                <w:sz w:val="16"/>
                <w:szCs w:val="16"/>
                <w:lang w:val="en-GB"/>
              </w:rPr>
              <w:t>C</w:t>
            </w:r>
            <w:r w:rsidRPr="00781150">
              <w:rPr>
                <w:rFonts w:ascii="Arial" w:hAnsi="Arial" w:cs="Arial"/>
                <w:sz w:val="16"/>
                <w:szCs w:val="16"/>
                <w:lang w:val="en-GB"/>
              </w:rPr>
              <w:t xml:space="preserve">lient is not authorized to reproduce and/or distribute the work (works) without the express consent of the </w:t>
            </w:r>
            <w:r>
              <w:rPr>
                <w:rFonts w:ascii="Arial" w:hAnsi="Arial" w:cs="Arial"/>
                <w:sz w:val="16"/>
                <w:szCs w:val="16"/>
                <w:lang w:val="en-GB"/>
              </w:rPr>
              <w:t>Consultant</w:t>
            </w:r>
            <w:r w:rsidRPr="00781150">
              <w:rPr>
                <w:rFonts w:ascii="Arial" w:hAnsi="Arial" w:cs="Arial"/>
                <w:sz w:val="16"/>
                <w:szCs w:val="16"/>
                <w:lang w:val="en-GB"/>
              </w:rPr>
              <w:t xml:space="preserve">. Under no circumstances shall the </w:t>
            </w:r>
            <w:r>
              <w:rPr>
                <w:rFonts w:ascii="Arial" w:hAnsi="Arial" w:cs="Arial"/>
                <w:sz w:val="16"/>
                <w:szCs w:val="16"/>
                <w:lang w:val="en-GB"/>
              </w:rPr>
              <w:t>Consultant</w:t>
            </w:r>
            <w:r w:rsidRPr="00781150">
              <w:rPr>
                <w:rFonts w:ascii="Arial" w:hAnsi="Arial" w:cs="Arial"/>
                <w:sz w:val="16"/>
                <w:szCs w:val="16"/>
                <w:lang w:val="en-GB"/>
              </w:rPr>
              <w:t xml:space="preserve"> be liable to third parties for unauthorized reproduction/distribution of the work, particularly with regard to the accuracy of the work.</w:t>
            </w:r>
          </w:p>
          <w:p w14:paraId="4CFAB0F2" w14:textId="77777777" w:rsidR="00597B71" w:rsidRPr="00781150" w:rsidRDefault="00597B71" w:rsidP="00514EFA">
            <w:pPr>
              <w:rPr>
                <w:rFonts w:ascii="Arial" w:hAnsi="Arial" w:cs="Arial"/>
                <w:sz w:val="16"/>
                <w:szCs w:val="16"/>
                <w:lang w:val="en-GB"/>
              </w:rPr>
            </w:pPr>
          </w:p>
          <w:p w14:paraId="48630716" w14:textId="77777777" w:rsidR="00597B71" w:rsidRPr="00434AB1" w:rsidRDefault="00597B71" w:rsidP="00514EFA">
            <w:pPr>
              <w:rPr>
                <w:rFonts w:ascii="Arial" w:hAnsi="Arial" w:cs="Arial"/>
                <w:sz w:val="22"/>
                <w:szCs w:val="22"/>
                <w:lang w:val="en-GB"/>
              </w:rPr>
            </w:pPr>
            <w:r w:rsidRPr="00781150">
              <w:rPr>
                <w:rFonts w:ascii="Arial" w:hAnsi="Arial" w:cs="Arial"/>
                <w:sz w:val="16"/>
                <w:szCs w:val="16"/>
                <w:lang w:val="en-GB"/>
              </w:rPr>
              <w:t xml:space="preserve">Any violation by the </w:t>
            </w:r>
            <w:r>
              <w:rPr>
                <w:rFonts w:ascii="Arial" w:hAnsi="Arial" w:cs="Arial"/>
                <w:sz w:val="16"/>
                <w:szCs w:val="16"/>
                <w:lang w:val="en-GB"/>
              </w:rPr>
              <w:t>C</w:t>
            </w:r>
            <w:r w:rsidRPr="00781150">
              <w:rPr>
                <w:rFonts w:ascii="Arial" w:hAnsi="Arial" w:cs="Arial"/>
                <w:sz w:val="16"/>
                <w:szCs w:val="16"/>
                <w:lang w:val="en-GB"/>
              </w:rPr>
              <w:t xml:space="preserve">lient of these provisions shall entitle the </w:t>
            </w:r>
            <w:r>
              <w:rPr>
                <w:rFonts w:ascii="Arial" w:hAnsi="Arial" w:cs="Arial"/>
                <w:sz w:val="16"/>
                <w:szCs w:val="16"/>
                <w:lang w:val="en-GB"/>
              </w:rPr>
              <w:t>Consultant</w:t>
            </w:r>
            <w:r w:rsidRPr="00781150">
              <w:rPr>
                <w:rFonts w:ascii="Arial" w:hAnsi="Arial" w:cs="Arial"/>
                <w:sz w:val="16"/>
                <w:szCs w:val="16"/>
                <w:lang w:val="en-GB"/>
              </w:rPr>
              <w:t xml:space="preserve"> to immediately terminate the contractual relationship prematurely and to assert other legal claims, in particular claims for injunctive relief and/or damages.</w:t>
            </w:r>
          </w:p>
          <w:p w14:paraId="1A13A24C" w14:textId="77777777" w:rsidR="00597B71" w:rsidRPr="00434AB1" w:rsidRDefault="00597B71" w:rsidP="00514EFA">
            <w:pPr>
              <w:rPr>
                <w:rFonts w:ascii="Arial" w:hAnsi="Arial" w:cs="Arial"/>
                <w:sz w:val="22"/>
                <w:szCs w:val="22"/>
                <w:lang w:val="en-GB"/>
              </w:rPr>
            </w:pPr>
          </w:p>
        </w:tc>
      </w:tr>
      <w:tr w:rsidR="00597B71" w:rsidRPr="009A4AC5" w14:paraId="0F4670EB" w14:textId="77777777" w:rsidTr="009A4AC5">
        <w:tc>
          <w:tcPr>
            <w:tcW w:w="4530" w:type="dxa"/>
          </w:tcPr>
          <w:p w14:paraId="5F666652" w14:textId="77777777" w:rsidR="00597B71" w:rsidRPr="00695CC4" w:rsidRDefault="00597B71" w:rsidP="00597B71">
            <w:pPr>
              <w:pStyle w:val="ListParagraph"/>
              <w:numPr>
                <w:ilvl w:val="0"/>
                <w:numId w:val="6"/>
              </w:numPr>
              <w:rPr>
                <w:rFonts w:ascii="Arial" w:hAnsi="Arial" w:cs="Arial"/>
                <w:sz w:val="22"/>
                <w:szCs w:val="22"/>
              </w:rPr>
            </w:pPr>
            <w:r w:rsidRPr="008F0C26">
              <w:rPr>
                <w:rFonts w:ascii="Arial" w:hAnsi="Arial" w:cs="Arial"/>
                <w:sz w:val="22"/>
                <w:szCs w:val="22"/>
              </w:rPr>
              <w:t>Safeguarding Independence</w:t>
            </w:r>
            <w:r w:rsidRPr="00695CC4">
              <w:rPr>
                <w:rFonts w:ascii="Arial" w:hAnsi="Arial" w:cs="Arial"/>
                <w:sz w:val="22"/>
                <w:szCs w:val="22"/>
              </w:rPr>
              <w:t xml:space="preserve"> </w:t>
            </w:r>
          </w:p>
          <w:p w14:paraId="7670507F" w14:textId="77777777" w:rsidR="00597B71" w:rsidRPr="00946FA4" w:rsidRDefault="00597B71" w:rsidP="00514EFA">
            <w:pPr>
              <w:rPr>
                <w:rFonts w:ascii="Arial" w:hAnsi="Arial" w:cs="Arial"/>
                <w:sz w:val="22"/>
                <w:szCs w:val="22"/>
                <w:lang w:val="en-GB"/>
              </w:rPr>
            </w:pPr>
            <w:r w:rsidRPr="00946FA4">
              <w:rPr>
                <w:rFonts w:ascii="Arial" w:hAnsi="Arial" w:cs="Arial"/>
                <w:sz w:val="16"/>
                <w:szCs w:val="16"/>
                <w:lang w:val="en-GB"/>
              </w:rPr>
              <w:t xml:space="preserve">The contracting parties mutually commit to taking all necessary measures to prevent any compromise of the independence of the contracted third parties. This applies in particular to offers made by the </w:t>
            </w:r>
            <w:r>
              <w:rPr>
                <w:rFonts w:ascii="Arial" w:hAnsi="Arial" w:cs="Arial"/>
                <w:sz w:val="16"/>
                <w:szCs w:val="16"/>
                <w:lang w:val="en-GB"/>
              </w:rPr>
              <w:t>C</w:t>
            </w:r>
            <w:r w:rsidRPr="00946FA4">
              <w:rPr>
                <w:rFonts w:ascii="Arial" w:hAnsi="Arial" w:cs="Arial"/>
                <w:sz w:val="16"/>
                <w:szCs w:val="16"/>
                <w:lang w:val="en-GB"/>
              </w:rPr>
              <w:t>lient for employment or the assumption of orders on their own account.</w:t>
            </w:r>
          </w:p>
          <w:p w14:paraId="4DCD09E1" w14:textId="77777777" w:rsidR="00597B71" w:rsidRPr="00946FA4" w:rsidRDefault="00597B71" w:rsidP="00514EFA">
            <w:pPr>
              <w:rPr>
                <w:rFonts w:ascii="Arial" w:hAnsi="Arial" w:cs="Arial"/>
                <w:sz w:val="22"/>
                <w:szCs w:val="22"/>
                <w:lang w:val="en-GB"/>
              </w:rPr>
            </w:pPr>
          </w:p>
        </w:tc>
        <w:tc>
          <w:tcPr>
            <w:tcW w:w="4531" w:type="dxa"/>
          </w:tcPr>
          <w:p w14:paraId="4E00CC63" w14:textId="77777777" w:rsidR="00597B71" w:rsidRPr="005449E6" w:rsidRDefault="00597B71" w:rsidP="00597B71">
            <w:pPr>
              <w:pStyle w:val="ListParagraph"/>
              <w:numPr>
                <w:ilvl w:val="0"/>
                <w:numId w:val="6"/>
              </w:numPr>
              <w:rPr>
                <w:rFonts w:ascii="Arial" w:hAnsi="Arial" w:cs="Arial"/>
                <w:sz w:val="22"/>
                <w:szCs w:val="22"/>
              </w:rPr>
            </w:pPr>
            <w:r>
              <w:rPr>
                <w:rFonts w:ascii="Arial" w:hAnsi="Arial" w:cs="Arial"/>
                <w:sz w:val="22"/>
                <w:szCs w:val="22"/>
              </w:rPr>
              <w:t>Warranty</w:t>
            </w:r>
          </w:p>
          <w:p w14:paraId="0FADCF07" w14:textId="77777777" w:rsidR="00597B71" w:rsidRPr="00C55BC4" w:rsidRDefault="00597B71" w:rsidP="00514EFA">
            <w:pPr>
              <w:rPr>
                <w:rFonts w:ascii="Arial" w:hAnsi="Arial" w:cs="Arial"/>
                <w:sz w:val="16"/>
                <w:szCs w:val="16"/>
                <w:lang w:val="en-GB"/>
              </w:rPr>
            </w:pPr>
            <w:r w:rsidRPr="00C55BC4">
              <w:rPr>
                <w:rFonts w:ascii="Arial" w:hAnsi="Arial" w:cs="Arial"/>
                <w:sz w:val="16"/>
                <w:szCs w:val="16"/>
                <w:lang w:val="en-GB"/>
              </w:rPr>
              <w:t xml:space="preserve">The </w:t>
            </w:r>
            <w:r>
              <w:rPr>
                <w:rFonts w:ascii="Arial" w:hAnsi="Arial" w:cs="Arial"/>
                <w:sz w:val="16"/>
                <w:szCs w:val="16"/>
                <w:lang w:val="en-GB"/>
              </w:rPr>
              <w:t>Consultant</w:t>
            </w:r>
            <w:r w:rsidRPr="00C55BC4">
              <w:rPr>
                <w:rFonts w:ascii="Arial" w:hAnsi="Arial" w:cs="Arial"/>
                <w:sz w:val="16"/>
                <w:szCs w:val="16"/>
                <w:lang w:val="en-GB"/>
              </w:rPr>
              <w:t xml:space="preserve"> is entitled and obligated, without regard to fault, to remedy any inaccuracies and defects in their performance within the scope of statutory warranty. The </w:t>
            </w:r>
            <w:r>
              <w:rPr>
                <w:rFonts w:ascii="Arial" w:hAnsi="Arial" w:cs="Arial"/>
                <w:sz w:val="16"/>
                <w:szCs w:val="16"/>
                <w:lang w:val="en-GB"/>
              </w:rPr>
              <w:t>Consultant</w:t>
            </w:r>
            <w:r w:rsidRPr="00C55BC4">
              <w:rPr>
                <w:rFonts w:ascii="Arial" w:hAnsi="Arial" w:cs="Arial"/>
                <w:sz w:val="16"/>
                <w:szCs w:val="16"/>
                <w:lang w:val="en-GB"/>
              </w:rPr>
              <w:t xml:space="preserve"> will promptly inform the </w:t>
            </w:r>
            <w:r>
              <w:rPr>
                <w:rFonts w:ascii="Arial" w:hAnsi="Arial" w:cs="Arial"/>
                <w:sz w:val="16"/>
                <w:szCs w:val="16"/>
                <w:lang w:val="en-GB"/>
              </w:rPr>
              <w:t>C</w:t>
            </w:r>
            <w:r w:rsidRPr="00C55BC4">
              <w:rPr>
                <w:rFonts w:ascii="Arial" w:hAnsi="Arial" w:cs="Arial"/>
                <w:sz w:val="16"/>
                <w:szCs w:val="16"/>
                <w:lang w:val="en-GB"/>
              </w:rPr>
              <w:t>lient thereof.</w:t>
            </w:r>
          </w:p>
          <w:p w14:paraId="19EC09F3" w14:textId="77777777" w:rsidR="00597B71" w:rsidRPr="00CD22B8" w:rsidRDefault="00597B71" w:rsidP="00514EFA">
            <w:pPr>
              <w:rPr>
                <w:rFonts w:ascii="Arial" w:hAnsi="Arial" w:cs="Arial"/>
                <w:sz w:val="16"/>
                <w:szCs w:val="16"/>
                <w:lang w:val="en-GB"/>
              </w:rPr>
            </w:pPr>
            <w:r w:rsidRPr="00C55BC4">
              <w:rPr>
                <w:rFonts w:ascii="Arial" w:hAnsi="Arial" w:cs="Arial"/>
                <w:sz w:val="16"/>
                <w:szCs w:val="16"/>
                <w:lang w:val="en-GB"/>
              </w:rPr>
              <w:t>This claim of the client expires after six months from the provision of the respective performance.</w:t>
            </w:r>
          </w:p>
        </w:tc>
      </w:tr>
      <w:tr w:rsidR="009A4AC5" w:rsidRPr="00EA7BFA" w14:paraId="7EA3A71F" w14:textId="77777777" w:rsidTr="009A4AC5">
        <w:tc>
          <w:tcPr>
            <w:tcW w:w="4530" w:type="dxa"/>
          </w:tcPr>
          <w:p w14:paraId="33FD9E7D" w14:textId="77777777" w:rsidR="009A4AC5" w:rsidRPr="00B333B3" w:rsidRDefault="009A4AC5" w:rsidP="009A4AC5">
            <w:pPr>
              <w:pStyle w:val="ListParagraph"/>
              <w:numPr>
                <w:ilvl w:val="0"/>
                <w:numId w:val="6"/>
              </w:numPr>
              <w:rPr>
                <w:rFonts w:ascii="Arial" w:hAnsi="Arial" w:cs="Arial"/>
                <w:sz w:val="22"/>
                <w:szCs w:val="22"/>
              </w:rPr>
            </w:pPr>
            <w:r w:rsidRPr="008563FA">
              <w:rPr>
                <w:rFonts w:ascii="Arial" w:hAnsi="Arial" w:cs="Arial"/>
                <w:sz w:val="22"/>
                <w:szCs w:val="22"/>
              </w:rPr>
              <w:t>Duration of the Contrac</w:t>
            </w:r>
            <w:r>
              <w:rPr>
                <w:rFonts w:ascii="Arial" w:hAnsi="Arial" w:cs="Arial"/>
                <w:sz w:val="22"/>
                <w:szCs w:val="22"/>
              </w:rPr>
              <w:t>t</w:t>
            </w:r>
          </w:p>
          <w:p w14:paraId="23B5F28F" w14:textId="77777777" w:rsidR="009A4AC5" w:rsidRPr="00D50B25" w:rsidRDefault="009A4AC5" w:rsidP="007F4E23">
            <w:pPr>
              <w:rPr>
                <w:rFonts w:ascii="Arial" w:hAnsi="Arial" w:cs="Arial"/>
                <w:sz w:val="16"/>
                <w:szCs w:val="16"/>
              </w:rPr>
            </w:pPr>
            <w:r w:rsidRPr="00D50B25">
              <w:rPr>
                <w:rFonts w:ascii="Arial" w:hAnsi="Arial" w:cs="Arial"/>
                <w:sz w:val="16"/>
                <w:szCs w:val="16"/>
                <w:lang w:val="en-GB"/>
              </w:rPr>
              <w:t xml:space="preserve">This contract will generally terminate upon completion of the project and corresponding invoicing. Nevertheless, the contract can be terminated at any time without observing a notice period for important reasons by either party. </w:t>
            </w:r>
            <w:r w:rsidRPr="00D50B25">
              <w:rPr>
                <w:rFonts w:ascii="Arial" w:hAnsi="Arial" w:cs="Arial"/>
                <w:sz w:val="16"/>
                <w:szCs w:val="16"/>
              </w:rPr>
              <w:t>Important reasons include, in particular:</w:t>
            </w:r>
          </w:p>
          <w:p w14:paraId="770D16CE" w14:textId="77777777" w:rsidR="009A4AC5" w:rsidRPr="00D50B25" w:rsidRDefault="009A4AC5" w:rsidP="007F4E23">
            <w:pPr>
              <w:pStyle w:val="ListParagraph"/>
              <w:numPr>
                <w:ilvl w:val="0"/>
                <w:numId w:val="5"/>
              </w:numPr>
              <w:rPr>
                <w:rFonts w:ascii="Arial" w:hAnsi="Arial" w:cs="Arial"/>
                <w:sz w:val="16"/>
                <w:szCs w:val="16"/>
                <w:lang w:val="en-GB"/>
              </w:rPr>
            </w:pPr>
            <w:r w:rsidRPr="00D50B25">
              <w:rPr>
                <w:rFonts w:ascii="Arial" w:hAnsi="Arial" w:cs="Arial"/>
                <w:sz w:val="16"/>
                <w:szCs w:val="16"/>
                <w:lang w:val="en-GB"/>
              </w:rPr>
              <w:t>If one party breaches material contractual obligations, or</w:t>
            </w:r>
          </w:p>
          <w:p w14:paraId="4C30CC54" w14:textId="77777777" w:rsidR="009A4AC5" w:rsidRPr="00D50B25" w:rsidRDefault="009A4AC5" w:rsidP="007F4E23">
            <w:pPr>
              <w:pStyle w:val="ListParagraph"/>
              <w:numPr>
                <w:ilvl w:val="0"/>
                <w:numId w:val="5"/>
              </w:numPr>
              <w:rPr>
                <w:rFonts w:ascii="Arial" w:hAnsi="Arial" w:cs="Arial"/>
                <w:sz w:val="16"/>
                <w:szCs w:val="16"/>
                <w:lang w:val="en-GB"/>
              </w:rPr>
            </w:pPr>
            <w:r w:rsidRPr="00D50B25">
              <w:rPr>
                <w:rFonts w:ascii="Arial" w:hAnsi="Arial" w:cs="Arial"/>
                <w:sz w:val="16"/>
                <w:szCs w:val="16"/>
                <w:lang w:val="en-GB"/>
              </w:rPr>
              <w:t>If one party becomes in default of payment after the initiation of insolvency proceedings, or</w:t>
            </w:r>
          </w:p>
          <w:p w14:paraId="071B9726" w14:textId="77777777" w:rsidR="009A4AC5" w:rsidRPr="00842300" w:rsidRDefault="009A4AC5" w:rsidP="007F4E23">
            <w:pPr>
              <w:rPr>
                <w:rFonts w:ascii="Arial" w:hAnsi="Arial" w:cs="Arial"/>
                <w:sz w:val="16"/>
                <w:szCs w:val="16"/>
                <w:lang w:val="en-GB"/>
              </w:rPr>
            </w:pPr>
            <w:r w:rsidRPr="00B60C66">
              <w:rPr>
                <w:rFonts w:ascii="Arial" w:hAnsi="Arial" w:cs="Arial"/>
                <w:sz w:val="16"/>
                <w:szCs w:val="16"/>
                <w:lang w:val="en-GB"/>
              </w:rPr>
              <w:t xml:space="preserve">If legitimate concerns arise regarding the creditworthiness of a party, for which no insolvency proceedings have been initiated, and said party fails to make advance payments or provide adequate security at the request of the </w:t>
            </w:r>
            <w:r>
              <w:rPr>
                <w:rFonts w:ascii="Arial" w:hAnsi="Arial" w:cs="Arial"/>
                <w:sz w:val="16"/>
                <w:szCs w:val="16"/>
                <w:lang w:val="en-GB"/>
              </w:rPr>
              <w:t>Consultant</w:t>
            </w:r>
            <w:r w:rsidRPr="00B60C66">
              <w:rPr>
                <w:rFonts w:ascii="Arial" w:hAnsi="Arial" w:cs="Arial"/>
                <w:sz w:val="16"/>
                <w:szCs w:val="16"/>
                <w:lang w:val="en-GB"/>
              </w:rPr>
              <w:t xml:space="preserve"> prior to performance of the </w:t>
            </w:r>
            <w:r>
              <w:rPr>
                <w:rFonts w:ascii="Arial" w:hAnsi="Arial" w:cs="Arial"/>
                <w:sz w:val="16"/>
                <w:szCs w:val="16"/>
                <w:lang w:val="en-GB"/>
              </w:rPr>
              <w:t>Consultant</w:t>
            </w:r>
            <w:r w:rsidRPr="00B60C66">
              <w:rPr>
                <w:rFonts w:ascii="Arial" w:hAnsi="Arial" w:cs="Arial"/>
                <w:sz w:val="16"/>
                <w:szCs w:val="16"/>
                <w:lang w:val="en-GB"/>
              </w:rPr>
              <w:t>'s services, and the poor financial circumstances of the other party were not known at the time of contract conclusion.</w:t>
            </w:r>
          </w:p>
        </w:tc>
        <w:tc>
          <w:tcPr>
            <w:tcW w:w="4531" w:type="dxa"/>
          </w:tcPr>
          <w:p w14:paraId="48823E1B" w14:textId="77777777" w:rsidR="009A4AC5" w:rsidRPr="00EE7C71" w:rsidRDefault="009A4AC5" w:rsidP="009A4AC5">
            <w:pPr>
              <w:pStyle w:val="ListParagraph"/>
              <w:numPr>
                <w:ilvl w:val="0"/>
                <w:numId w:val="6"/>
              </w:numPr>
              <w:rPr>
                <w:rFonts w:ascii="Arial" w:hAnsi="Arial" w:cs="Arial"/>
                <w:sz w:val="22"/>
                <w:szCs w:val="22"/>
                <w:lang w:val="de-AT"/>
              </w:rPr>
            </w:pPr>
            <w:r w:rsidRPr="00842300">
              <w:rPr>
                <w:rFonts w:ascii="Arial" w:hAnsi="Arial" w:cs="Arial"/>
                <w:sz w:val="22"/>
                <w:szCs w:val="22"/>
                <w:lang w:val="de-AT"/>
              </w:rPr>
              <w:t>Electronic invoicing</w:t>
            </w:r>
          </w:p>
          <w:p w14:paraId="47957F94" w14:textId="77777777" w:rsidR="009A4AC5" w:rsidRPr="00BF3DF2" w:rsidRDefault="009A4AC5" w:rsidP="007F4E23">
            <w:pPr>
              <w:rPr>
                <w:rFonts w:ascii="Arial" w:hAnsi="Arial" w:cs="Arial"/>
                <w:sz w:val="16"/>
                <w:szCs w:val="16"/>
                <w:lang w:val="en-GB"/>
              </w:rPr>
            </w:pPr>
            <w:r w:rsidRPr="00BF3DF2">
              <w:rPr>
                <w:rFonts w:ascii="Arial" w:hAnsi="Arial" w:cs="Arial"/>
                <w:sz w:val="16"/>
                <w:szCs w:val="16"/>
                <w:lang w:val="en-GB"/>
              </w:rPr>
              <w:t xml:space="preserve">The </w:t>
            </w:r>
            <w:r>
              <w:rPr>
                <w:rFonts w:ascii="Arial" w:hAnsi="Arial" w:cs="Arial"/>
                <w:sz w:val="16"/>
                <w:szCs w:val="16"/>
                <w:lang w:val="en-GB"/>
              </w:rPr>
              <w:t>Consultant</w:t>
            </w:r>
            <w:r w:rsidRPr="00BF3DF2">
              <w:rPr>
                <w:rFonts w:ascii="Arial" w:hAnsi="Arial" w:cs="Arial"/>
                <w:sz w:val="16"/>
                <w:szCs w:val="16"/>
                <w:lang w:val="en-GB"/>
              </w:rPr>
              <w:t xml:space="preserve"> is authorized to transmit invoices to the client in electronic form. The client expressly agrees to receive invoices in electronic form from the </w:t>
            </w:r>
            <w:r>
              <w:rPr>
                <w:rFonts w:ascii="Arial" w:hAnsi="Arial" w:cs="Arial"/>
                <w:sz w:val="16"/>
                <w:szCs w:val="16"/>
                <w:lang w:val="en-GB"/>
              </w:rPr>
              <w:t>Consultant</w:t>
            </w:r>
            <w:r w:rsidRPr="00BF3DF2">
              <w:rPr>
                <w:rFonts w:ascii="Arial" w:hAnsi="Arial" w:cs="Arial"/>
                <w:sz w:val="16"/>
                <w:szCs w:val="16"/>
                <w:lang w:val="en-GB"/>
              </w:rPr>
              <w:t>.</w:t>
            </w:r>
          </w:p>
          <w:p w14:paraId="4D4C2E93" w14:textId="77777777" w:rsidR="009A4AC5" w:rsidRPr="00EA7BFA" w:rsidRDefault="009A4AC5" w:rsidP="007F4E23">
            <w:pPr>
              <w:rPr>
                <w:rFonts w:ascii="Arial" w:hAnsi="Arial" w:cs="Arial"/>
                <w:sz w:val="22"/>
                <w:szCs w:val="22"/>
                <w:lang w:val="en-GB"/>
              </w:rPr>
            </w:pPr>
          </w:p>
        </w:tc>
      </w:tr>
      <w:tr w:rsidR="00597B71" w:rsidRPr="009A4AC5" w14:paraId="1A3D69CC" w14:textId="77777777" w:rsidTr="009A4AC5">
        <w:tc>
          <w:tcPr>
            <w:tcW w:w="4530" w:type="dxa"/>
          </w:tcPr>
          <w:p w14:paraId="1C669F58" w14:textId="77777777" w:rsidR="00597B71" w:rsidRPr="00E326ED" w:rsidRDefault="00597B71" w:rsidP="00FE1A3E">
            <w:pPr>
              <w:pStyle w:val="ListParagraph"/>
              <w:numPr>
                <w:ilvl w:val="0"/>
                <w:numId w:val="6"/>
              </w:numPr>
              <w:rPr>
                <w:rFonts w:ascii="Arial" w:hAnsi="Arial" w:cs="Arial"/>
                <w:sz w:val="22"/>
                <w:szCs w:val="22"/>
              </w:rPr>
            </w:pPr>
            <w:r w:rsidRPr="00E02226">
              <w:rPr>
                <w:rFonts w:ascii="Arial" w:hAnsi="Arial" w:cs="Arial"/>
                <w:sz w:val="22"/>
                <w:szCs w:val="22"/>
              </w:rPr>
              <w:lastRenderedPageBreak/>
              <w:t>Confidentiality / Data Protection</w:t>
            </w:r>
          </w:p>
          <w:p w14:paraId="27FBC0BF" w14:textId="77777777" w:rsidR="00597B71" w:rsidRPr="0064145D" w:rsidRDefault="00597B71" w:rsidP="00514EFA">
            <w:pPr>
              <w:rPr>
                <w:rFonts w:ascii="Arial" w:hAnsi="Arial" w:cs="Arial"/>
                <w:sz w:val="16"/>
                <w:szCs w:val="16"/>
                <w:lang w:val="en-GB"/>
              </w:rPr>
            </w:pPr>
            <w:r w:rsidRPr="0064145D">
              <w:rPr>
                <w:rFonts w:ascii="Arial" w:hAnsi="Arial" w:cs="Arial"/>
                <w:sz w:val="16"/>
                <w:szCs w:val="16"/>
                <w:lang w:val="en-GB"/>
              </w:rPr>
              <w:t xml:space="preserve">The </w:t>
            </w:r>
            <w:r>
              <w:rPr>
                <w:rFonts w:ascii="Arial" w:hAnsi="Arial" w:cs="Arial"/>
                <w:sz w:val="16"/>
                <w:szCs w:val="16"/>
                <w:lang w:val="en-GB"/>
              </w:rPr>
              <w:t>Consultant</w:t>
            </w:r>
            <w:r w:rsidRPr="0064145D">
              <w:rPr>
                <w:rFonts w:ascii="Arial" w:hAnsi="Arial" w:cs="Arial"/>
                <w:sz w:val="16"/>
                <w:szCs w:val="16"/>
                <w:lang w:val="en-GB"/>
              </w:rPr>
              <w:t xml:space="preserve"> undertakes to maintain absolute confidentiality regarding all business matters that come to his/her knowledge, in particular business and trade secrets, as well as any information he/she receives about the nature, scope of operations, and practical activities of the client.</w:t>
            </w:r>
          </w:p>
          <w:p w14:paraId="001E27B2" w14:textId="77777777" w:rsidR="00597B71" w:rsidRPr="0064145D" w:rsidRDefault="00597B71" w:rsidP="00514EFA">
            <w:pPr>
              <w:rPr>
                <w:rFonts w:ascii="Arial" w:hAnsi="Arial" w:cs="Arial"/>
                <w:sz w:val="16"/>
                <w:szCs w:val="16"/>
                <w:lang w:val="en-GB"/>
              </w:rPr>
            </w:pPr>
          </w:p>
          <w:p w14:paraId="1FE59602" w14:textId="77777777" w:rsidR="00597B71" w:rsidRPr="0064145D" w:rsidRDefault="00597B71" w:rsidP="00514EFA">
            <w:pPr>
              <w:rPr>
                <w:rFonts w:ascii="Arial" w:hAnsi="Arial" w:cs="Arial"/>
                <w:sz w:val="16"/>
                <w:szCs w:val="16"/>
                <w:lang w:val="en-GB"/>
              </w:rPr>
            </w:pPr>
            <w:r w:rsidRPr="0064145D">
              <w:rPr>
                <w:rFonts w:ascii="Arial" w:hAnsi="Arial" w:cs="Arial"/>
                <w:sz w:val="16"/>
                <w:szCs w:val="16"/>
                <w:lang w:val="en-GB"/>
              </w:rPr>
              <w:t xml:space="preserve">Furthermore, the </w:t>
            </w:r>
            <w:r>
              <w:rPr>
                <w:rFonts w:ascii="Arial" w:hAnsi="Arial" w:cs="Arial"/>
                <w:sz w:val="16"/>
                <w:szCs w:val="16"/>
                <w:lang w:val="en-GB"/>
              </w:rPr>
              <w:t>Consultant</w:t>
            </w:r>
            <w:r w:rsidRPr="0064145D">
              <w:rPr>
                <w:rFonts w:ascii="Arial" w:hAnsi="Arial" w:cs="Arial"/>
                <w:sz w:val="16"/>
                <w:szCs w:val="16"/>
                <w:lang w:val="en-GB"/>
              </w:rPr>
              <w:t xml:space="preserve"> undertakes to maintain confidentiality towards third parties regarding the entire content of the work, as well as all information and circumstances that have come to his/her knowledge in connection with the creation of the work, including data about the client's customers.</w:t>
            </w:r>
          </w:p>
          <w:p w14:paraId="45B88300" w14:textId="77777777" w:rsidR="00597B71" w:rsidRPr="0064145D" w:rsidRDefault="00597B71" w:rsidP="00514EFA">
            <w:pPr>
              <w:rPr>
                <w:rFonts w:ascii="Arial" w:hAnsi="Arial" w:cs="Arial"/>
                <w:sz w:val="16"/>
                <w:szCs w:val="16"/>
                <w:lang w:val="en-GB"/>
              </w:rPr>
            </w:pPr>
          </w:p>
          <w:p w14:paraId="528668AC" w14:textId="77777777" w:rsidR="00597B71" w:rsidRPr="0064145D" w:rsidRDefault="00597B71" w:rsidP="00514EFA">
            <w:pPr>
              <w:rPr>
                <w:rFonts w:ascii="Arial" w:hAnsi="Arial" w:cs="Arial"/>
                <w:sz w:val="16"/>
                <w:szCs w:val="16"/>
                <w:lang w:val="en-GB"/>
              </w:rPr>
            </w:pPr>
            <w:r w:rsidRPr="0064145D">
              <w:rPr>
                <w:rFonts w:ascii="Arial" w:hAnsi="Arial" w:cs="Arial"/>
                <w:sz w:val="16"/>
                <w:szCs w:val="16"/>
                <w:lang w:val="en-GB"/>
              </w:rPr>
              <w:t xml:space="preserve">The </w:t>
            </w:r>
            <w:r>
              <w:rPr>
                <w:rFonts w:ascii="Arial" w:hAnsi="Arial" w:cs="Arial"/>
                <w:sz w:val="16"/>
                <w:szCs w:val="16"/>
                <w:lang w:val="en-GB"/>
              </w:rPr>
              <w:t>Consultant</w:t>
            </w:r>
            <w:r w:rsidRPr="0064145D">
              <w:rPr>
                <w:rFonts w:ascii="Arial" w:hAnsi="Arial" w:cs="Arial"/>
                <w:sz w:val="16"/>
                <w:szCs w:val="16"/>
                <w:lang w:val="en-GB"/>
              </w:rPr>
              <w:t xml:space="preserve"> is released from the obligation of confidentiality towards any assistants and deputies he/she may employ. However, the </w:t>
            </w:r>
            <w:r>
              <w:rPr>
                <w:rFonts w:ascii="Arial" w:hAnsi="Arial" w:cs="Arial"/>
                <w:sz w:val="16"/>
                <w:szCs w:val="16"/>
                <w:lang w:val="en-GB"/>
              </w:rPr>
              <w:t>Consultant</w:t>
            </w:r>
            <w:r w:rsidRPr="0064145D">
              <w:rPr>
                <w:rFonts w:ascii="Arial" w:hAnsi="Arial" w:cs="Arial"/>
                <w:sz w:val="16"/>
                <w:szCs w:val="16"/>
                <w:lang w:val="en-GB"/>
              </w:rPr>
              <w:t xml:space="preserve"> shall fully bind them to the obligation of confidentiality and shall be liable for any breach of confidentiality by them as if it were his/her own breach.</w:t>
            </w:r>
          </w:p>
          <w:p w14:paraId="096A67E1" w14:textId="77777777" w:rsidR="00597B71" w:rsidRPr="0064145D" w:rsidRDefault="00597B71" w:rsidP="00514EFA">
            <w:pPr>
              <w:rPr>
                <w:rFonts w:ascii="Arial" w:hAnsi="Arial" w:cs="Arial"/>
                <w:sz w:val="16"/>
                <w:szCs w:val="16"/>
                <w:lang w:val="en-GB"/>
              </w:rPr>
            </w:pPr>
            <w:r w:rsidRPr="0064145D">
              <w:rPr>
                <w:rFonts w:ascii="Arial" w:hAnsi="Arial" w:cs="Arial"/>
                <w:sz w:val="16"/>
                <w:szCs w:val="16"/>
                <w:lang w:val="en-GB"/>
              </w:rPr>
              <w:t>The obligation of confidentiality extends indefinitely beyond the termination of this contractual relationship. Exceptions exist in case of legally required obligations to testify.</w:t>
            </w:r>
          </w:p>
          <w:p w14:paraId="521FCA99" w14:textId="77777777" w:rsidR="00597B71" w:rsidRDefault="00597B71" w:rsidP="00514EFA">
            <w:pPr>
              <w:rPr>
                <w:rFonts w:ascii="Arial" w:hAnsi="Arial" w:cs="Arial"/>
                <w:sz w:val="16"/>
                <w:szCs w:val="16"/>
                <w:lang w:val="en-GB"/>
              </w:rPr>
            </w:pPr>
            <w:r w:rsidRPr="0064145D">
              <w:rPr>
                <w:rFonts w:ascii="Arial" w:hAnsi="Arial" w:cs="Arial"/>
                <w:sz w:val="16"/>
                <w:szCs w:val="16"/>
                <w:lang w:val="en-GB"/>
              </w:rPr>
              <w:t xml:space="preserve">The </w:t>
            </w:r>
            <w:r>
              <w:rPr>
                <w:rFonts w:ascii="Arial" w:hAnsi="Arial" w:cs="Arial"/>
                <w:sz w:val="16"/>
                <w:szCs w:val="16"/>
                <w:lang w:val="en-GB"/>
              </w:rPr>
              <w:t>Consultant</w:t>
            </w:r>
            <w:r w:rsidRPr="0064145D">
              <w:rPr>
                <w:rFonts w:ascii="Arial" w:hAnsi="Arial" w:cs="Arial"/>
                <w:sz w:val="16"/>
                <w:szCs w:val="16"/>
                <w:lang w:val="en-GB"/>
              </w:rPr>
              <w:t xml:space="preserve"> is authorized to process personal data entrusted to him/her within the scope of the purpose of the contractual relationship. The client warrants to the </w:t>
            </w:r>
            <w:r>
              <w:rPr>
                <w:rFonts w:ascii="Arial" w:hAnsi="Arial" w:cs="Arial"/>
                <w:sz w:val="16"/>
                <w:szCs w:val="16"/>
                <w:lang w:val="en-GB"/>
              </w:rPr>
              <w:t>Consultant</w:t>
            </w:r>
            <w:r w:rsidRPr="0064145D">
              <w:rPr>
                <w:rFonts w:ascii="Arial" w:hAnsi="Arial" w:cs="Arial"/>
                <w:sz w:val="16"/>
                <w:szCs w:val="16"/>
                <w:lang w:val="en-GB"/>
              </w:rPr>
              <w:t xml:space="preserve"> that all necessary measures, particularly those required by data protection laws, such as consent declarations of the data subjects, have been taken for this purpose.</w:t>
            </w:r>
          </w:p>
          <w:p w14:paraId="28AC41B3" w14:textId="77777777" w:rsidR="00597B71" w:rsidRDefault="00597B71" w:rsidP="00514EFA">
            <w:pPr>
              <w:rPr>
                <w:rFonts w:ascii="Arial" w:hAnsi="Arial" w:cs="Arial"/>
                <w:sz w:val="16"/>
                <w:szCs w:val="16"/>
                <w:lang w:val="en-GB"/>
              </w:rPr>
            </w:pPr>
          </w:p>
          <w:p w14:paraId="73613C00" w14:textId="77777777" w:rsidR="00597B71" w:rsidRPr="0064145D" w:rsidRDefault="00597B71" w:rsidP="00514EFA">
            <w:pPr>
              <w:rPr>
                <w:rFonts w:ascii="Arial" w:hAnsi="Arial" w:cs="Arial"/>
                <w:sz w:val="16"/>
                <w:szCs w:val="16"/>
                <w:lang w:val="en-GB"/>
              </w:rPr>
            </w:pPr>
          </w:p>
        </w:tc>
        <w:tc>
          <w:tcPr>
            <w:tcW w:w="4531" w:type="dxa"/>
          </w:tcPr>
          <w:p w14:paraId="7447D33E" w14:textId="77777777" w:rsidR="00597B71" w:rsidRPr="00E326ED" w:rsidRDefault="00597B71" w:rsidP="009A4AC5">
            <w:pPr>
              <w:pStyle w:val="ListParagraph"/>
              <w:numPr>
                <w:ilvl w:val="0"/>
                <w:numId w:val="6"/>
              </w:numPr>
              <w:rPr>
                <w:rFonts w:ascii="Arial" w:hAnsi="Arial" w:cs="Arial"/>
                <w:sz w:val="22"/>
                <w:szCs w:val="22"/>
              </w:rPr>
            </w:pPr>
            <w:r w:rsidRPr="00E326ED">
              <w:rPr>
                <w:rFonts w:ascii="Arial" w:hAnsi="Arial" w:cs="Arial"/>
                <w:sz w:val="22"/>
                <w:szCs w:val="22"/>
              </w:rPr>
              <w:t>Honorar</w:t>
            </w:r>
            <w:r>
              <w:rPr>
                <w:rFonts w:ascii="Arial" w:hAnsi="Arial" w:cs="Arial"/>
                <w:sz w:val="22"/>
                <w:szCs w:val="22"/>
              </w:rPr>
              <w:t>ium</w:t>
            </w:r>
          </w:p>
          <w:p w14:paraId="027FEC7C" w14:textId="77777777" w:rsidR="00597B71" w:rsidRPr="009F1E87" w:rsidRDefault="00597B71" w:rsidP="00514EFA">
            <w:pPr>
              <w:rPr>
                <w:rFonts w:ascii="Arial" w:hAnsi="Arial" w:cs="Arial"/>
                <w:sz w:val="16"/>
                <w:szCs w:val="16"/>
                <w:lang w:val="en-GB"/>
              </w:rPr>
            </w:pPr>
            <w:r w:rsidRPr="009F1E87">
              <w:rPr>
                <w:rFonts w:ascii="Arial" w:hAnsi="Arial" w:cs="Arial"/>
                <w:sz w:val="16"/>
                <w:szCs w:val="16"/>
                <w:lang w:val="en-GB"/>
              </w:rPr>
              <w:t xml:space="preserve">After completion of the agreed work, the </w:t>
            </w:r>
            <w:r>
              <w:rPr>
                <w:rFonts w:ascii="Arial" w:hAnsi="Arial" w:cs="Arial"/>
                <w:sz w:val="16"/>
                <w:szCs w:val="16"/>
                <w:lang w:val="en-GB"/>
              </w:rPr>
              <w:t>Consultant</w:t>
            </w:r>
            <w:r w:rsidRPr="009F1E87">
              <w:rPr>
                <w:rFonts w:ascii="Arial" w:hAnsi="Arial" w:cs="Arial"/>
                <w:sz w:val="16"/>
                <w:szCs w:val="16"/>
                <w:lang w:val="en-GB"/>
              </w:rPr>
              <w:t xml:space="preserve"> shall receive a fee in accordance with the agreement between the </w:t>
            </w:r>
            <w:r>
              <w:rPr>
                <w:rFonts w:ascii="Arial" w:hAnsi="Arial" w:cs="Arial"/>
                <w:sz w:val="16"/>
                <w:szCs w:val="16"/>
                <w:lang w:val="en-GB"/>
              </w:rPr>
              <w:t>C</w:t>
            </w:r>
            <w:r w:rsidRPr="009F1E87">
              <w:rPr>
                <w:rFonts w:ascii="Arial" w:hAnsi="Arial" w:cs="Arial"/>
                <w:sz w:val="16"/>
                <w:szCs w:val="16"/>
                <w:lang w:val="en-GB"/>
              </w:rPr>
              <w:t xml:space="preserve">lient and the </w:t>
            </w:r>
            <w:r>
              <w:rPr>
                <w:rFonts w:ascii="Arial" w:hAnsi="Arial" w:cs="Arial"/>
                <w:sz w:val="16"/>
                <w:szCs w:val="16"/>
                <w:lang w:val="en-GB"/>
              </w:rPr>
              <w:t>Consultant</w:t>
            </w:r>
            <w:r w:rsidRPr="009F1E87">
              <w:rPr>
                <w:rFonts w:ascii="Arial" w:hAnsi="Arial" w:cs="Arial"/>
                <w:sz w:val="16"/>
                <w:szCs w:val="16"/>
                <w:lang w:val="en-GB"/>
              </w:rPr>
              <w:t xml:space="preserve">. The </w:t>
            </w:r>
            <w:r>
              <w:rPr>
                <w:rFonts w:ascii="Arial" w:hAnsi="Arial" w:cs="Arial"/>
                <w:sz w:val="16"/>
                <w:szCs w:val="16"/>
                <w:lang w:val="en-GB"/>
              </w:rPr>
              <w:t>Consultant</w:t>
            </w:r>
            <w:r w:rsidRPr="009F1E87">
              <w:rPr>
                <w:rFonts w:ascii="Arial" w:hAnsi="Arial" w:cs="Arial"/>
                <w:sz w:val="16"/>
                <w:szCs w:val="16"/>
                <w:lang w:val="en-GB"/>
              </w:rPr>
              <w:t xml:space="preserve"> is entitled to submit interim invoices corresponding to the progress of the work. The fee is due upon invoicing by the </w:t>
            </w:r>
            <w:r>
              <w:rPr>
                <w:rFonts w:ascii="Arial" w:hAnsi="Arial" w:cs="Arial"/>
                <w:sz w:val="16"/>
                <w:szCs w:val="16"/>
                <w:lang w:val="en-GB"/>
              </w:rPr>
              <w:t>Consultant</w:t>
            </w:r>
            <w:r w:rsidRPr="009F1E87">
              <w:rPr>
                <w:rFonts w:ascii="Arial" w:hAnsi="Arial" w:cs="Arial"/>
                <w:sz w:val="16"/>
                <w:szCs w:val="16"/>
                <w:lang w:val="en-GB"/>
              </w:rPr>
              <w:t xml:space="preserve">. The </w:t>
            </w:r>
            <w:r>
              <w:rPr>
                <w:rFonts w:ascii="Arial" w:hAnsi="Arial" w:cs="Arial"/>
                <w:sz w:val="16"/>
                <w:szCs w:val="16"/>
                <w:lang w:val="en-GB"/>
              </w:rPr>
              <w:t>Consultant</w:t>
            </w:r>
            <w:r w:rsidRPr="009F1E87">
              <w:rPr>
                <w:rFonts w:ascii="Arial" w:hAnsi="Arial" w:cs="Arial"/>
                <w:sz w:val="16"/>
                <w:szCs w:val="16"/>
                <w:lang w:val="en-GB"/>
              </w:rPr>
              <w:t xml:space="preserve"> shall issue an invoice with all legally required features, entitling the client to claim input tax deduction.</w:t>
            </w:r>
          </w:p>
          <w:p w14:paraId="00A00760" w14:textId="77777777" w:rsidR="00597B71" w:rsidRPr="009F1E87" w:rsidRDefault="00597B71" w:rsidP="00514EFA">
            <w:pPr>
              <w:rPr>
                <w:rFonts w:ascii="Arial" w:hAnsi="Arial" w:cs="Arial"/>
                <w:sz w:val="16"/>
                <w:szCs w:val="16"/>
                <w:lang w:val="en-GB"/>
              </w:rPr>
            </w:pPr>
          </w:p>
          <w:p w14:paraId="16479571" w14:textId="77777777" w:rsidR="00597B71" w:rsidRDefault="00597B71" w:rsidP="00514EFA">
            <w:pPr>
              <w:rPr>
                <w:rFonts w:ascii="Arial" w:hAnsi="Arial" w:cs="Arial"/>
                <w:b/>
                <w:bCs/>
                <w:sz w:val="16"/>
                <w:szCs w:val="16"/>
                <w:lang w:val="en-GB"/>
              </w:rPr>
            </w:pPr>
            <w:r w:rsidRPr="006627D4">
              <w:rPr>
                <w:rFonts w:ascii="Arial" w:hAnsi="Arial" w:cs="Arial"/>
                <w:b/>
                <w:bCs/>
                <w:sz w:val="16"/>
                <w:szCs w:val="16"/>
                <w:lang w:val="en-GB"/>
              </w:rPr>
              <w:t xml:space="preserve">Incurred cash expenses, expenses, travel costs, etc. are to be reimbursed by the client to the </w:t>
            </w:r>
            <w:r>
              <w:rPr>
                <w:rFonts w:ascii="Arial" w:hAnsi="Arial" w:cs="Arial"/>
                <w:b/>
                <w:bCs/>
                <w:sz w:val="16"/>
                <w:szCs w:val="16"/>
                <w:lang w:val="en-GB"/>
              </w:rPr>
              <w:t>Consultant</w:t>
            </w:r>
            <w:r w:rsidRPr="006627D4">
              <w:rPr>
                <w:rFonts w:ascii="Arial" w:hAnsi="Arial" w:cs="Arial"/>
                <w:b/>
                <w:bCs/>
                <w:sz w:val="16"/>
                <w:szCs w:val="16"/>
                <w:lang w:val="en-GB"/>
              </w:rPr>
              <w:t xml:space="preserve"> against invoicing, if they exceed an amount of €150 each.</w:t>
            </w:r>
          </w:p>
          <w:p w14:paraId="533CD6ED" w14:textId="77777777" w:rsidR="00597B71" w:rsidRPr="006627D4" w:rsidRDefault="00597B71" w:rsidP="00514EFA">
            <w:pPr>
              <w:rPr>
                <w:rFonts w:ascii="Arial" w:hAnsi="Arial" w:cs="Arial"/>
                <w:b/>
                <w:bCs/>
                <w:sz w:val="16"/>
                <w:szCs w:val="16"/>
                <w:lang w:val="en-GB"/>
              </w:rPr>
            </w:pPr>
          </w:p>
          <w:p w14:paraId="600E28BB" w14:textId="77777777" w:rsidR="00597B71" w:rsidRPr="00BF3DF2" w:rsidRDefault="00597B71" w:rsidP="00514EFA">
            <w:pPr>
              <w:rPr>
                <w:rFonts w:ascii="Arial" w:hAnsi="Arial" w:cs="Arial"/>
                <w:sz w:val="22"/>
                <w:szCs w:val="22"/>
                <w:lang w:val="en-GB"/>
              </w:rPr>
            </w:pPr>
            <w:r w:rsidRPr="00842300">
              <w:rPr>
                <w:rFonts w:ascii="Arial" w:hAnsi="Arial" w:cs="Arial"/>
                <w:sz w:val="16"/>
                <w:szCs w:val="16"/>
                <w:lang w:val="en-GB"/>
              </w:rPr>
              <w:t xml:space="preserve">If the execution of the agreed work is not carried out for reasons attributable to the </w:t>
            </w:r>
            <w:r>
              <w:rPr>
                <w:rFonts w:ascii="Arial" w:hAnsi="Arial" w:cs="Arial"/>
                <w:sz w:val="16"/>
                <w:szCs w:val="16"/>
                <w:lang w:val="en-GB"/>
              </w:rPr>
              <w:t>C</w:t>
            </w:r>
            <w:r w:rsidRPr="00842300">
              <w:rPr>
                <w:rFonts w:ascii="Arial" w:hAnsi="Arial" w:cs="Arial"/>
                <w:sz w:val="16"/>
                <w:szCs w:val="16"/>
                <w:lang w:val="en-GB"/>
              </w:rPr>
              <w:t xml:space="preserve">lient, or due to a justified premature termination of the contractual relationship by the </w:t>
            </w:r>
            <w:r>
              <w:rPr>
                <w:rFonts w:ascii="Arial" w:hAnsi="Arial" w:cs="Arial"/>
                <w:sz w:val="16"/>
                <w:szCs w:val="16"/>
                <w:lang w:val="en-GB"/>
              </w:rPr>
              <w:t>Consultant</w:t>
            </w:r>
            <w:r w:rsidRPr="00842300">
              <w:rPr>
                <w:rFonts w:ascii="Arial" w:hAnsi="Arial" w:cs="Arial"/>
                <w:sz w:val="16"/>
                <w:szCs w:val="16"/>
                <w:lang w:val="en-GB"/>
              </w:rPr>
              <w:t xml:space="preserve">, the </w:t>
            </w:r>
            <w:r>
              <w:rPr>
                <w:rFonts w:ascii="Arial" w:hAnsi="Arial" w:cs="Arial"/>
                <w:sz w:val="16"/>
                <w:szCs w:val="16"/>
                <w:lang w:val="en-GB"/>
              </w:rPr>
              <w:t>Consultant</w:t>
            </w:r>
            <w:r w:rsidRPr="00842300">
              <w:rPr>
                <w:rFonts w:ascii="Arial" w:hAnsi="Arial" w:cs="Arial"/>
                <w:sz w:val="16"/>
                <w:szCs w:val="16"/>
                <w:lang w:val="en-GB"/>
              </w:rPr>
              <w:t xml:space="preserve"> shall retain the right to payment of the entire agreed-upon fee minus saved expenses. In case of an hourly fee agreement, the fee for the number of hours that would have been expected for the entire agreed-upon work, minus saved expenses, shall be payable. The saved expenses are agreed upon as a lump sum of 30 percent of the fee for the services that the </w:t>
            </w:r>
            <w:r>
              <w:rPr>
                <w:rFonts w:ascii="Arial" w:hAnsi="Arial" w:cs="Arial"/>
                <w:sz w:val="16"/>
                <w:szCs w:val="16"/>
                <w:lang w:val="en-GB"/>
              </w:rPr>
              <w:t>Consultant</w:t>
            </w:r>
            <w:r w:rsidRPr="00842300">
              <w:rPr>
                <w:rFonts w:ascii="Arial" w:hAnsi="Arial" w:cs="Arial"/>
                <w:sz w:val="16"/>
                <w:szCs w:val="16"/>
                <w:lang w:val="en-GB"/>
              </w:rPr>
              <w:t xml:space="preserve"> has not yet rendered until the date of termination of the contractual relationship. In case of non-payment of interim invoices, the </w:t>
            </w:r>
            <w:r>
              <w:rPr>
                <w:rFonts w:ascii="Arial" w:hAnsi="Arial" w:cs="Arial"/>
                <w:sz w:val="16"/>
                <w:szCs w:val="16"/>
                <w:lang w:val="en-GB"/>
              </w:rPr>
              <w:t>Consultant</w:t>
            </w:r>
            <w:r w:rsidRPr="00842300">
              <w:rPr>
                <w:rFonts w:ascii="Arial" w:hAnsi="Arial" w:cs="Arial"/>
                <w:sz w:val="16"/>
                <w:szCs w:val="16"/>
                <w:lang w:val="en-GB"/>
              </w:rPr>
              <w:t xml:space="preserve"> is relieved of the obligation to provide further services. However, the assertion of further claims resulting from non-payment shall not be affected thereby.</w:t>
            </w:r>
          </w:p>
        </w:tc>
      </w:tr>
      <w:tr w:rsidR="00597B71" w:rsidRPr="009A4AC5" w14:paraId="539688A6" w14:textId="77777777" w:rsidTr="009A4AC5">
        <w:tc>
          <w:tcPr>
            <w:tcW w:w="4530" w:type="dxa"/>
          </w:tcPr>
          <w:p w14:paraId="4FC5F8D8" w14:textId="77777777" w:rsidR="00597B71" w:rsidRPr="005F52C0" w:rsidRDefault="00597B71" w:rsidP="009A4AC5">
            <w:pPr>
              <w:pStyle w:val="ListParagraph"/>
              <w:numPr>
                <w:ilvl w:val="0"/>
                <w:numId w:val="6"/>
              </w:numPr>
              <w:rPr>
                <w:rFonts w:ascii="Arial" w:hAnsi="Arial" w:cs="Arial"/>
                <w:sz w:val="22"/>
                <w:szCs w:val="22"/>
              </w:rPr>
            </w:pPr>
            <w:r w:rsidRPr="00660D03">
              <w:rPr>
                <w:rFonts w:ascii="Arial" w:hAnsi="Arial" w:cs="Arial"/>
                <w:sz w:val="22"/>
                <w:szCs w:val="22"/>
              </w:rPr>
              <w:t>Final Provisions</w:t>
            </w:r>
          </w:p>
          <w:p w14:paraId="78E84930" w14:textId="77777777" w:rsidR="00597B71" w:rsidRPr="00045613" w:rsidRDefault="00597B71" w:rsidP="00514EFA">
            <w:pPr>
              <w:rPr>
                <w:rFonts w:ascii="Arial" w:hAnsi="Arial" w:cs="Arial"/>
                <w:sz w:val="16"/>
                <w:szCs w:val="16"/>
                <w:lang w:val="en-GB"/>
              </w:rPr>
            </w:pPr>
            <w:r w:rsidRPr="00045613">
              <w:rPr>
                <w:rFonts w:ascii="Arial" w:hAnsi="Arial" w:cs="Arial"/>
                <w:sz w:val="16"/>
                <w:szCs w:val="16"/>
                <w:lang w:val="en-GB"/>
              </w:rPr>
              <w:t>The parties confirm that all information in the contract has been provided diligently and truthfully, and they commit to promptly notifying each other of any changes that may occur.</w:t>
            </w:r>
          </w:p>
          <w:p w14:paraId="024CA4A9" w14:textId="77777777" w:rsidR="00597B71" w:rsidRPr="00045613" w:rsidRDefault="00597B71" w:rsidP="00514EFA">
            <w:pPr>
              <w:rPr>
                <w:rFonts w:ascii="Arial" w:hAnsi="Arial" w:cs="Arial"/>
                <w:sz w:val="16"/>
                <w:szCs w:val="16"/>
                <w:lang w:val="en-GB"/>
              </w:rPr>
            </w:pPr>
          </w:p>
          <w:p w14:paraId="5155A25D" w14:textId="77777777" w:rsidR="00597B71" w:rsidRPr="00045613" w:rsidRDefault="00597B71" w:rsidP="00514EFA">
            <w:pPr>
              <w:rPr>
                <w:rFonts w:ascii="Arial" w:hAnsi="Arial" w:cs="Arial"/>
                <w:sz w:val="16"/>
                <w:szCs w:val="16"/>
                <w:lang w:val="en-GB"/>
              </w:rPr>
            </w:pPr>
            <w:r w:rsidRPr="00045613">
              <w:rPr>
                <w:rFonts w:ascii="Arial" w:hAnsi="Arial" w:cs="Arial"/>
                <w:sz w:val="16"/>
                <w:szCs w:val="16"/>
                <w:lang w:val="en-GB"/>
              </w:rPr>
              <w:t>Changes to the contract and these terms and conditions require written form; waiver of this formal requirement also requires written form. Oral side agreements do not exist.</w:t>
            </w:r>
          </w:p>
          <w:p w14:paraId="5D42A1C0" w14:textId="77777777" w:rsidR="00597B71" w:rsidRPr="00045613" w:rsidRDefault="00597B71" w:rsidP="00514EFA">
            <w:pPr>
              <w:rPr>
                <w:rFonts w:ascii="Arial" w:hAnsi="Arial" w:cs="Arial"/>
                <w:sz w:val="16"/>
                <w:szCs w:val="16"/>
                <w:lang w:val="en-GB"/>
              </w:rPr>
            </w:pPr>
          </w:p>
          <w:p w14:paraId="60443D08" w14:textId="77777777" w:rsidR="00597B71" w:rsidRPr="00045613" w:rsidRDefault="00597B71" w:rsidP="00514EFA">
            <w:pPr>
              <w:rPr>
                <w:rFonts w:ascii="Arial" w:hAnsi="Arial" w:cs="Arial"/>
                <w:sz w:val="22"/>
                <w:szCs w:val="22"/>
                <w:lang w:val="en-GB"/>
              </w:rPr>
            </w:pPr>
            <w:r w:rsidRPr="00045613">
              <w:rPr>
                <w:rFonts w:ascii="Arial" w:hAnsi="Arial" w:cs="Arial"/>
                <w:sz w:val="16"/>
                <w:szCs w:val="16"/>
                <w:lang w:val="en-GB"/>
              </w:rPr>
              <w:t xml:space="preserve">This contract is subject to Austrian substantive law, excluding the rules on conflict of laws and the UN Convention on Contracts for the International Sale of Goods. Place of performance is the location of the </w:t>
            </w:r>
            <w:r>
              <w:rPr>
                <w:rFonts w:ascii="Arial" w:hAnsi="Arial" w:cs="Arial"/>
                <w:sz w:val="16"/>
                <w:szCs w:val="16"/>
                <w:lang w:val="en-GB"/>
              </w:rPr>
              <w:t>Consultant</w:t>
            </w:r>
            <w:r w:rsidRPr="00045613">
              <w:rPr>
                <w:rFonts w:ascii="Arial" w:hAnsi="Arial" w:cs="Arial"/>
                <w:sz w:val="16"/>
                <w:szCs w:val="16"/>
                <w:lang w:val="en-GB"/>
              </w:rPr>
              <w:t xml:space="preserve">'s professional establishment. The court at the </w:t>
            </w:r>
            <w:r>
              <w:rPr>
                <w:rFonts w:ascii="Arial" w:hAnsi="Arial" w:cs="Arial"/>
                <w:sz w:val="16"/>
                <w:szCs w:val="16"/>
                <w:lang w:val="en-GB"/>
              </w:rPr>
              <w:t>Consultant</w:t>
            </w:r>
            <w:r w:rsidRPr="00045613">
              <w:rPr>
                <w:rFonts w:ascii="Arial" w:hAnsi="Arial" w:cs="Arial"/>
                <w:sz w:val="16"/>
                <w:szCs w:val="16"/>
                <w:lang w:val="en-GB"/>
              </w:rPr>
              <w:t>'s place of business shall have jurisdiction for disputes.</w:t>
            </w:r>
          </w:p>
          <w:p w14:paraId="34E64688" w14:textId="77777777" w:rsidR="00597B71" w:rsidRPr="00045613" w:rsidRDefault="00597B71" w:rsidP="00514EFA">
            <w:pPr>
              <w:rPr>
                <w:rFonts w:ascii="Arial" w:hAnsi="Arial" w:cs="Arial"/>
                <w:sz w:val="16"/>
                <w:szCs w:val="16"/>
                <w:lang w:val="en-GB"/>
              </w:rPr>
            </w:pPr>
          </w:p>
        </w:tc>
        <w:tc>
          <w:tcPr>
            <w:tcW w:w="4531" w:type="dxa"/>
          </w:tcPr>
          <w:p w14:paraId="012C9518" w14:textId="77777777" w:rsidR="00597B71" w:rsidRPr="00B26580" w:rsidRDefault="00597B71" w:rsidP="00597B71">
            <w:pPr>
              <w:pStyle w:val="ListParagraph"/>
              <w:numPr>
                <w:ilvl w:val="0"/>
                <w:numId w:val="4"/>
              </w:numPr>
              <w:rPr>
                <w:rFonts w:ascii="Arial" w:hAnsi="Arial" w:cs="Arial"/>
                <w:sz w:val="22"/>
                <w:szCs w:val="22"/>
              </w:rPr>
            </w:pPr>
            <w:r w:rsidRPr="00045613">
              <w:rPr>
                <w:rFonts w:ascii="Arial" w:hAnsi="Arial" w:cs="Arial"/>
                <w:sz w:val="22"/>
                <w:szCs w:val="22"/>
              </w:rPr>
              <w:t>Mediation clause</w:t>
            </w:r>
            <w:r w:rsidRPr="00B26580">
              <w:rPr>
                <w:rFonts w:ascii="Arial" w:hAnsi="Arial" w:cs="Arial"/>
                <w:sz w:val="22"/>
                <w:szCs w:val="22"/>
              </w:rPr>
              <w:t>:</w:t>
            </w:r>
          </w:p>
          <w:p w14:paraId="26606A59" w14:textId="77777777" w:rsidR="00597B71" w:rsidRPr="00EB7449" w:rsidRDefault="00597B71" w:rsidP="00514EFA">
            <w:pPr>
              <w:rPr>
                <w:rFonts w:ascii="Arial" w:hAnsi="Arial" w:cs="Arial"/>
                <w:sz w:val="16"/>
                <w:szCs w:val="16"/>
                <w:lang w:val="en-GB"/>
              </w:rPr>
            </w:pPr>
            <w:r w:rsidRPr="00EB7449">
              <w:rPr>
                <w:rFonts w:ascii="Arial" w:hAnsi="Arial" w:cs="Arial"/>
                <w:sz w:val="16"/>
                <w:szCs w:val="16"/>
                <w:lang w:val="en-GB"/>
              </w:rPr>
              <w:t xml:space="preserve">In the event of disputes arising from this contract that cannot be resolved amicably, the contracting parties agree to involve registered mediators (ZivMediatG) specializing in commercial mediation from the list of the </w:t>
            </w:r>
            <w:r>
              <w:rPr>
                <w:rFonts w:ascii="Arial" w:hAnsi="Arial" w:cs="Arial"/>
                <w:sz w:val="16"/>
                <w:szCs w:val="16"/>
                <w:lang w:val="en-GB"/>
              </w:rPr>
              <w:t xml:space="preserve">Austrian </w:t>
            </w:r>
            <w:r w:rsidRPr="00EB7449">
              <w:rPr>
                <w:rFonts w:ascii="Arial" w:hAnsi="Arial" w:cs="Arial"/>
                <w:sz w:val="16"/>
                <w:szCs w:val="16"/>
                <w:lang w:val="en-GB"/>
              </w:rPr>
              <w:t>Ministry of Justice for out-of-court conflict resolution. If no agreement can be reached on the selection of commercial mediators or on the content of the mediation, legal action may be initiated no earlier than one month after the failure of negotiations.</w:t>
            </w:r>
          </w:p>
          <w:p w14:paraId="5BDCADC0" w14:textId="77777777" w:rsidR="00597B71" w:rsidRPr="00EB7449" w:rsidRDefault="00597B71" w:rsidP="00514EFA">
            <w:pPr>
              <w:rPr>
                <w:rFonts w:ascii="Arial" w:hAnsi="Arial" w:cs="Arial"/>
                <w:sz w:val="16"/>
                <w:szCs w:val="16"/>
                <w:lang w:val="en-GB"/>
              </w:rPr>
            </w:pPr>
          </w:p>
          <w:p w14:paraId="3C0286CA" w14:textId="77777777" w:rsidR="00597B71" w:rsidRPr="00EB7449" w:rsidRDefault="00597B71" w:rsidP="00514EFA">
            <w:pPr>
              <w:rPr>
                <w:rFonts w:ascii="Arial" w:hAnsi="Arial" w:cs="Arial"/>
                <w:sz w:val="16"/>
                <w:szCs w:val="16"/>
                <w:lang w:val="en-GB"/>
              </w:rPr>
            </w:pPr>
            <w:r w:rsidRPr="00EB7449">
              <w:rPr>
                <w:rFonts w:ascii="Arial" w:hAnsi="Arial" w:cs="Arial"/>
                <w:sz w:val="16"/>
                <w:szCs w:val="16"/>
                <w:lang w:val="en-GB"/>
              </w:rPr>
              <w:t>In the event of a failed or terminated mediation, Austrian law shall apply in any subsequent court proceedings, if initiated.</w:t>
            </w:r>
          </w:p>
          <w:p w14:paraId="47F9C20F" w14:textId="77777777" w:rsidR="00597B71" w:rsidRPr="00EB7449" w:rsidRDefault="00597B71" w:rsidP="00514EFA">
            <w:pPr>
              <w:rPr>
                <w:rFonts w:ascii="Arial" w:hAnsi="Arial" w:cs="Arial"/>
                <w:sz w:val="22"/>
                <w:szCs w:val="22"/>
                <w:lang w:val="en-GB"/>
              </w:rPr>
            </w:pPr>
            <w:r w:rsidRPr="00EB7449">
              <w:rPr>
                <w:rFonts w:ascii="Arial" w:hAnsi="Arial" w:cs="Arial"/>
                <w:sz w:val="16"/>
                <w:szCs w:val="16"/>
                <w:lang w:val="en-GB"/>
              </w:rPr>
              <w:t>All necessary expenses incurred as a result of a prior mediation, including those for legal advisors, may be claimed as "pre-litigation costs" in accordance with the agreement in a court or arbitration proceeding.</w:t>
            </w:r>
          </w:p>
        </w:tc>
      </w:tr>
    </w:tbl>
    <w:p w14:paraId="510521EB" w14:textId="77777777" w:rsidR="00597B71" w:rsidRPr="00EB7449" w:rsidRDefault="00597B71" w:rsidP="00597B71">
      <w:pPr>
        <w:rPr>
          <w:rFonts w:ascii="Arial" w:hAnsi="Arial" w:cs="Arial"/>
          <w:sz w:val="22"/>
          <w:szCs w:val="22"/>
          <w:lang w:val="en-GB"/>
        </w:rPr>
      </w:pPr>
    </w:p>
    <w:p w14:paraId="4CF31780" w14:textId="77777777" w:rsidR="00597B71" w:rsidRPr="00EB7449" w:rsidRDefault="00597B71" w:rsidP="00597B71">
      <w:pPr>
        <w:rPr>
          <w:rFonts w:ascii="Arial" w:hAnsi="Arial" w:cs="Arial"/>
          <w:sz w:val="22"/>
          <w:szCs w:val="22"/>
          <w:lang w:val="en-GB"/>
        </w:rPr>
      </w:pPr>
    </w:p>
    <w:p w14:paraId="24D96F41" w14:textId="77777777" w:rsidR="00597B71" w:rsidRPr="00EB7449" w:rsidRDefault="00597B71" w:rsidP="00597B71">
      <w:pPr>
        <w:rPr>
          <w:rFonts w:ascii="Arial" w:hAnsi="Arial" w:cs="Arial"/>
          <w:sz w:val="22"/>
          <w:szCs w:val="22"/>
          <w:lang w:val="en-GB"/>
        </w:rPr>
      </w:pPr>
    </w:p>
    <w:p w14:paraId="448DDDB7" w14:textId="77777777" w:rsidR="00597B71" w:rsidRPr="00EB7449" w:rsidRDefault="00597B71" w:rsidP="00597B71">
      <w:pPr>
        <w:rPr>
          <w:rFonts w:ascii="Arial" w:hAnsi="Arial" w:cs="Arial"/>
          <w:sz w:val="22"/>
          <w:szCs w:val="22"/>
          <w:lang w:val="en-GB"/>
        </w:rPr>
      </w:pPr>
    </w:p>
    <w:p w14:paraId="117F8BCD" w14:textId="77777777" w:rsidR="00597B71" w:rsidRPr="00EB7449" w:rsidRDefault="00597B71" w:rsidP="00597B71">
      <w:pPr>
        <w:rPr>
          <w:rFonts w:ascii="Arial" w:hAnsi="Arial" w:cs="Arial"/>
          <w:sz w:val="22"/>
          <w:szCs w:val="22"/>
          <w:lang w:val="en-GB"/>
        </w:rPr>
      </w:pPr>
    </w:p>
    <w:p w14:paraId="6522F48A" w14:textId="77777777" w:rsidR="00597B71" w:rsidRPr="00EB7449" w:rsidRDefault="00597B71" w:rsidP="00597B71">
      <w:pPr>
        <w:rPr>
          <w:rFonts w:ascii="Arial" w:hAnsi="Arial" w:cs="Arial"/>
          <w:sz w:val="22"/>
          <w:szCs w:val="22"/>
          <w:lang w:val="en-GB"/>
        </w:rPr>
      </w:pPr>
    </w:p>
    <w:p w14:paraId="090C2D66" w14:textId="77777777" w:rsidR="00597B71" w:rsidRPr="00EB7449" w:rsidRDefault="00597B71" w:rsidP="00597B71">
      <w:pPr>
        <w:rPr>
          <w:rFonts w:ascii="Arial" w:hAnsi="Arial" w:cs="Arial"/>
          <w:sz w:val="22"/>
          <w:szCs w:val="22"/>
          <w:lang w:val="en-GB"/>
        </w:rPr>
      </w:pPr>
    </w:p>
    <w:p w14:paraId="7DA5AF47" w14:textId="77777777" w:rsidR="00472F74" w:rsidRPr="00597B71" w:rsidRDefault="00472F74">
      <w:pPr>
        <w:rPr>
          <w:lang w:val="en-GB"/>
        </w:rPr>
      </w:pPr>
    </w:p>
    <w:sectPr w:rsidR="00472F74" w:rsidRPr="00597B71" w:rsidSect="00597B71">
      <w:headerReference w:type="default" r:id="rId8"/>
      <w:footerReference w:type="default" r:id="rId9"/>
      <w:footnotePr>
        <w:numRestart w:val="eachSect"/>
      </w:footnotePr>
      <w:pgSz w:w="11907" w:h="16840" w:code="9"/>
      <w:pgMar w:top="2835" w:right="1418" w:bottom="794" w:left="1418" w:header="720" w:footer="1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CA08" w14:textId="77777777" w:rsidR="009416A2" w:rsidRDefault="009416A2">
      <w:r>
        <w:separator/>
      </w:r>
    </w:p>
  </w:endnote>
  <w:endnote w:type="continuationSeparator" w:id="0">
    <w:p w14:paraId="0666DE12" w14:textId="77777777" w:rsidR="009416A2" w:rsidRDefault="0094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00000003" w:usb1="00000000" w:usb2="00000000" w:usb3="00000000" w:csb0="00000001" w:csb1="00000000"/>
  </w:font>
  <w:font w:name="Calaib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2068"/>
      <w:docPartObj>
        <w:docPartGallery w:val="Page Numbers (Bottom of Page)"/>
        <w:docPartUnique/>
      </w:docPartObj>
    </w:sdtPr>
    <w:sdtEndPr/>
    <w:sdtContent>
      <w:sdt>
        <w:sdtPr>
          <w:id w:val="-1769616900"/>
          <w:docPartObj>
            <w:docPartGallery w:val="Page Numbers (Top of Page)"/>
            <w:docPartUnique/>
          </w:docPartObj>
        </w:sdtPr>
        <w:sdtEndPr/>
        <w:sdtContent>
          <w:p w14:paraId="4BEED24A" w14:textId="77777777" w:rsidR="009416A2" w:rsidRDefault="00597B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064A16" w14:textId="77777777" w:rsidR="009416A2" w:rsidRDefault="0094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6AE7" w14:textId="77777777" w:rsidR="009416A2" w:rsidRDefault="009416A2">
      <w:r>
        <w:separator/>
      </w:r>
    </w:p>
  </w:footnote>
  <w:footnote w:type="continuationSeparator" w:id="0">
    <w:p w14:paraId="618CA02A" w14:textId="77777777" w:rsidR="009416A2" w:rsidRDefault="009416A2">
      <w:r>
        <w:continuationSeparator/>
      </w:r>
    </w:p>
  </w:footnote>
  <w:footnote w:id="1">
    <w:p w14:paraId="2DCDED4A" w14:textId="616E6A0F" w:rsidR="009416A2" w:rsidRDefault="009416A2">
      <w:pPr>
        <w:pStyle w:val="FootnoteText"/>
      </w:pPr>
      <w:r>
        <w:rPr>
          <w:rStyle w:val="FootnoteReference"/>
        </w:rPr>
        <w:footnoteRef/>
      </w:r>
      <w:r>
        <w:t xml:space="preserve"> </w:t>
      </w:r>
      <w:hyperlink r:id="rId1" w:history="1">
        <w:r>
          <w:rPr>
            <w:rStyle w:val="Hyperlink"/>
          </w:rPr>
          <w:t>Verbraucherpreisindex (VPI/HVPI) - STATISTIK AUSTRIA - Die Informationsmanager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B515" w14:textId="05AFA47A" w:rsidR="002C5581" w:rsidRDefault="002C5581" w:rsidP="00F01963">
    <w:pPr>
      <w:framePr w:w="7931" w:h="1249" w:hRule="exact" w:wrap="around" w:vAnchor="page" w:hAnchor="page" w:x="2253" w:y="1078" w:anchorLock="1"/>
      <w:jc w:val="center"/>
      <w:rPr>
        <w:rFonts w:ascii="Arial" w:hAnsi="Arial" w:cs="Arial"/>
        <w:sz w:val="18"/>
        <w:szCs w:val="14"/>
      </w:rPr>
    </w:pPr>
  </w:p>
  <w:p w14:paraId="33365EAC" w14:textId="10A8CA98" w:rsidR="009416A2" w:rsidRDefault="002C5581" w:rsidP="00F01963">
    <w:pPr>
      <w:framePr w:w="7931" w:h="1249" w:hRule="exact" w:wrap="around" w:vAnchor="page" w:hAnchor="page" w:x="2253" w:y="1078" w:anchorLock="1"/>
      <w:jc w:val="center"/>
      <w:rPr>
        <w:rFonts w:ascii="Arial" w:hAnsi="Arial" w:cs="Arial"/>
        <w:sz w:val="18"/>
        <w:szCs w:val="14"/>
      </w:rPr>
    </w:pPr>
    <w:r>
      <w:rPr>
        <w:rFonts w:ascii="Arial" w:hAnsi="Arial" w:cs="Arial"/>
        <w:sz w:val="18"/>
        <w:szCs w:val="14"/>
      </w:rPr>
      <w:t>mlm medtech GmbH</w:t>
    </w:r>
    <w:r w:rsidR="00597B71" w:rsidRPr="009A4AC5">
      <w:rPr>
        <w:noProof/>
      </w:rPr>
      <w:t xml:space="preserve"> </w:t>
    </w:r>
  </w:p>
  <w:p w14:paraId="47DAC44D" w14:textId="77777777" w:rsidR="009416A2" w:rsidRPr="009A4AC5" w:rsidRDefault="00597B71" w:rsidP="00F01963">
    <w:pPr>
      <w:framePr w:w="7931" w:h="1249" w:hRule="exact" w:wrap="around" w:vAnchor="page" w:hAnchor="page" w:x="2253" w:y="1078" w:anchorLock="1"/>
      <w:jc w:val="center"/>
      <w:rPr>
        <w:rFonts w:ascii="Arial" w:hAnsi="Arial" w:cs="Arial"/>
        <w:sz w:val="18"/>
        <w:szCs w:val="14"/>
      </w:rPr>
    </w:pPr>
    <w:r w:rsidRPr="009A4AC5">
      <w:rPr>
        <w:rFonts w:ascii="Arial" w:hAnsi="Arial" w:cs="Arial"/>
        <w:sz w:val="18"/>
        <w:szCs w:val="14"/>
      </w:rPr>
      <w:t>42/6 Maurer Lange Gasse, 1230 Vienna AUSTRIA</w:t>
    </w:r>
  </w:p>
  <w:p w14:paraId="2EA99351" w14:textId="0E325540" w:rsidR="009416A2" w:rsidRPr="009A4AC5" w:rsidRDefault="00597B71" w:rsidP="00F01963">
    <w:pPr>
      <w:framePr w:w="7931" w:h="1249" w:hRule="exact" w:wrap="around" w:vAnchor="page" w:hAnchor="page" w:x="2253" w:y="1078" w:anchorLock="1"/>
      <w:jc w:val="center"/>
      <w:rPr>
        <w:rFonts w:ascii="Arial" w:hAnsi="Arial" w:cs="Arial"/>
        <w:sz w:val="18"/>
        <w:szCs w:val="14"/>
      </w:rPr>
    </w:pPr>
    <w:r w:rsidRPr="009A4AC5">
      <w:rPr>
        <w:rFonts w:ascii="Arial" w:hAnsi="Arial" w:cs="Arial"/>
        <w:sz w:val="18"/>
        <w:szCs w:val="14"/>
      </w:rPr>
      <w:t xml:space="preserve">FN: </w:t>
    </w:r>
    <w:r w:rsidR="002C5581" w:rsidRPr="009A4AC5">
      <w:rPr>
        <w:rFonts w:ascii="Arial" w:hAnsi="Arial" w:cs="Arial"/>
        <w:sz w:val="18"/>
        <w:szCs w:val="14"/>
      </w:rPr>
      <w:t>616724y</w:t>
    </w:r>
    <w:r w:rsidRPr="009A4AC5">
      <w:rPr>
        <w:rFonts w:ascii="Arial" w:hAnsi="Arial" w:cs="Arial"/>
        <w:sz w:val="18"/>
        <w:szCs w:val="14"/>
      </w:rPr>
      <w:t xml:space="preserve"> | GISA: </w:t>
    </w:r>
    <w:r w:rsidR="002C5581" w:rsidRPr="009A4AC5">
      <w:rPr>
        <w:rFonts w:ascii="Arial" w:hAnsi="Arial" w:cs="Arial"/>
        <w:sz w:val="18"/>
        <w:szCs w:val="14"/>
      </w:rPr>
      <w:t>36630042</w:t>
    </w:r>
    <w:r w:rsidRPr="009A4AC5">
      <w:rPr>
        <w:rFonts w:ascii="Arial" w:hAnsi="Arial" w:cs="Arial"/>
        <w:sz w:val="18"/>
        <w:szCs w:val="14"/>
      </w:rPr>
      <w:t xml:space="preserve"> | UID: ATU</w:t>
    </w:r>
    <w:r w:rsidR="002C5581" w:rsidRPr="009A4AC5">
      <w:rPr>
        <w:rFonts w:ascii="Arial" w:hAnsi="Arial" w:cs="Arial"/>
        <w:sz w:val="18"/>
        <w:szCs w:val="14"/>
      </w:rPr>
      <w:t>80113645</w:t>
    </w:r>
    <w:r w:rsidRPr="009A4AC5">
      <w:rPr>
        <w:rFonts w:ascii="Arial" w:hAnsi="Arial" w:cs="Arial"/>
        <w:sz w:val="18"/>
        <w:szCs w:val="14"/>
      </w:rPr>
      <w:t xml:space="preserve"> </w:t>
    </w:r>
  </w:p>
  <w:p w14:paraId="3A855FFF" w14:textId="328F99D1" w:rsidR="009416A2" w:rsidRPr="009A4AC5" w:rsidRDefault="00597B71" w:rsidP="00F01963">
    <w:pPr>
      <w:framePr w:w="7931" w:h="1249" w:hRule="exact" w:wrap="around" w:vAnchor="page" w:hAnchor="page" w:x="2253" w:y="1078" w:anchorLock="1"/>
      <w:jc w:val="center"/>
      <w:rPr>
        <w:rFonts w:ascii="Arial" w:hAnsi="Arial" w:cs="Arial"/>
        <w:sz w:val="18"/>
        <w:szCs w:val="14"/>
      </w:rPr>
    </w:pPr>
    <w:r w:rsidRPr="009A4AC5">
      <w:rPr>
        <w:rFonts w:ascii="Arial" w:hAnsi="Arial" w:cs="Arial"/>
        <w:sz w:val="18"/>
        <w:szCs w:val="14"/>
      </w:rPr>
      <w:t xml:space="preserve">IBAN: </w:t>
    </w:r>
    <w:r w:rsidR="002C5581" w:rsidRPr="009A4AC5">
      <w:rPr>
        <w:rFonts w:ascii="Arial" w:hAnsi="Arial" w:cs="Arial"/>
        <w:sz w:val="18"/>
        <w:szCs w:val="14"/>
      </w:rPr>
      <w:t>AT46 1200 0100 4102 0305</w:t>
    </w:r>
    <w:r w:rsidRPr="009A4AC5">
      <w:rPr>
        <w:rFonts w:ascii="Arial" w:hAnsi="Arial" w:cs="Arial"/>
        <w:sz w:val="18"/>
        <w:szCs w:val="14"/>
      </w:rPr>
      <w:t xml:space="preserve"> | BIC: BKAUATWW</w:t>
    </w:r>
  </w:p>
  <w:p w14:paraId="29C07DC0" w14:textId="38EEBC27" w:rsidR="009416A2" w:rsidRPr="002C5581" w:rsidRDefault="00597B71" w:rsidP="00F01963">
    <w:pPr>
      <w:framePr w:w="7931" w:h="1249" w:hRule="exact" w:wrap="around" w:vAnchor="page" w:hAnchor="page" w:x="2253" w:y="1078" w:anchorLock="1"/>
      <w:jc w:val="center"/>
      <w:rPr>
        <w:rFonts w:ascii="Arial" w:hAnsi="Arial" w:cs="Arial"/>
        <w:sz w:val="18"/>
        <w:szCs w:val="14"/>
      </w:rPr>
    </w:pPr>
    <w:r w:rsidRPr="002C5581">
      <w:rPr>
        <w:rFonts w:ascii="Arial" w:hAnsi="Arial" w:cs="Arial"/>
        <w:sz w:val="18"/>
        <w:szCs w:val="14"/>
      </w:rPr>
      <w:t xml:space="preserve">Tel.: +43 664 28 748 95 </w:t>
    </w:r>
    <w:hyperlink r:id="rId1" w:history="1">
      <w:r w:rsidR="002C5581" w:rsidRPr="00327E91">
        <w:rPr>
          <w:rStyle w:val="Hyperlink"/>
          <w:rFonts w:ascii="Arial" w:hAnsi="Arial" w:cs="Arial"/>
          <w:sz w:val="18"/>
          <w:szCs w:val="14"/>
          <w:lang w:val="en-GB"/>
        </w:rPr>
        <w:t>office@mlm-medtech.com</w:t>
      </w:r>
    </w:hyperlink>
    <w:r w:rsidR="002C5581">
      <w:rPr>
        <w:rFonts w:ascii="Arial" w:hAnsi="Arial" w:cs="Arial"/>
        <w:sz w:val="18"/>
        <w:szCs w:val="14"/>
        <w:lang w:val="en-GB"/>
      </w:rPr>
      <w:t xml:space="preserve"> </w:t>
    </w:r>
  </w:p>
  <w:p w14:paraId="58A4E67F" w14:textId="4FAAFF17" w:rsidR="009416A2" w:rsidRPr="002C5581" w:rsidRDefault="002C5581">
    <w:pPr>
      <w:pStyle w:val="Header"/>
    </w:pPr>
    <w:r>
      <w:rPr>
        <w:rFonts w:ascii="Open Sans" w:hAnsi="Open Sans" w:cs="Open Sans"/>
        <w:noProof/>
      </w:rPr>
      <w:drawing>
        <wp:anchor distT="0" distB="0" distL="114300" distR="114300" simplePos="0" relativeHeight="251697152" behindDoc="1" locked="0" layoutInCell="1" allowOverlap="1" wp14:anchorId="58AC7562" wp14:editId="338E7F4A">
          <wp:simplePos x="0" y="0"/>
          <wp:positionH relativeFrom="column">
            <wp:posOffset>-21590</wp:posOffset>
          </wp:positionH>
          <wp:positionV relativeFrom="paragraph">
            <wp:posOffset>-57150</wp:posOffset>
          </wp:positionV>
          <wp:extent cx="1885950" cy="256316"/>
          <wp:effectExtent l="0" t="0" r="0" b="0"/>
          <wp:wrapNone/>
          <wp:docPr id="348182667"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2667" name="Picture 2" descr="A blue and black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5950" cy="256316"/>
                  </a:xfrm>
                  <a:prstGeom prst="rect">
                    <a:avLst/>
                  </a:prstGeom>
                </pic:spPr>
              </pic:pic>
            </a:graphicData>
          </a:graphic>
        </wp:anchor>
      </w:drawing>
    </w:r>
  </w:p>
  <w:p w14:paraId="492B755F" w14:textId="22486DDA" w:rsidR="009416A2" w:rsidRDefault="00597B71">
    <w:r>
      <w:rPr>
        <w:noProof/>
      </w:rPr>
      <mc:AlternateContent>
        <mc:Choice Requires="wps">
          <w:drawing>
            <wp:anchor distT="0" distB="0" distL="114300" distR="114300" simplePos="0" relativeHeight="251670528" behindDoc="0" locked="0" layoutInCell="1" allowOverlap="1" wp14:anchorId="65772573" wp14:editId="26E4A1F8">
              <wp:simplePos x="0" y="0"/>
              <wp:positionH relativeFrom="column">
                <wp:posOffset>5073650</wp:posOffset>
              </wp:positionH>
              <wp:positionV relativeFrom="paragraph">
                <wp:posOffset>151130</wp:posOffset>
              </wp:positionV>
              <wp:extent cx="1226185" cy="129540"/>
              <wp:effectExtent l="0" t="0" r="0" b="3810"/>
              <wp:wrapNone/>
              <wp:docPr id="5" name="Rectangle 5"/>
              <wp:cNvGraphicFramePr/>
              <a:graphic xmlns:a="http://schemas.openxmlformats.org/drawingml/2006/main">
                <a:graphicData uri="http://schemas.microsoft.com/office/word/2010/wordprocessingShape">
                  <wps:wsp>
                    <wps:cNvSpPr/>
                    <wps:spPr>
                      <a:xfrm>
                        <a:off x="0" y="0"/>
                        <a:ext cx="1226185" cy="129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84D8A" id="Rectangle 5" o:spid="_x0000_s1026" style="position:absolute;margin-left:399.5pt;margin-top:11.9pt;width:96.55pt;height:10.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3fQIAAF4FAAAOAAAAZHJzL2Uyb0RvYy54bWysVE1PGzEQvVfqf7B8L5tdEQoRGxSBqCoh&#10;QIWKs+O1syt5Pe7YySb99R17P0Ip6qFqDo7tefPmY9/48mrfGrZT6BuwJc9PZpwpK6Fq7Kbk359v&#10;P51z5oOwlTBgVckPyvOr5ccPl51bqAJqMJVCRiTWLzpX8joEt8gyL2vVCn8CTlkyasBWBDriJqtQ&#10;dMTemqyYzc6yDrByCFJ5T7c3vZEvE7/WSoYHrb0KzJSccgtpxbSu45otL8Vig8LVjRzSEP+QRSsa&#10;S0EnqhsRBNti8wdV20gEDzqcSGgz0LqRKtVA1eSzN9U81cKpVAs1x7upTf7/0cr73ZN7RGpD5/zC&#10;0zZWsdfYxn/Kj+1Tsw5Ts9Q+MEmXeVGc5edzziTZ8uJifpq6mR29HfrwRUHL4qbkSB8j9Ujs7nyg&#10;iAQdITGYB9NUt40x6RAFoK4Nsp2gT7fe5PFTkcdvKGMj1kL06s3xJjuWknbhYFTEGftNadZUlHyR&#10;EkkqOwYRUiob8t5Ui0r1secz+o3Rx7RSLokwMmuKP3EPBCOyJxm5+ywHfHRVSaST8+xvifXOk0eK&#10;DDZMzm1jAd8jMFTVELnHj03qWxO7tIbq8IgMoR8R7+RtQ5/tTvjwKJBmgqaH5jw80KINdCWHYcdZ&#10;DfjzvfuIJ6mSlbOOZqzk/sdWoOLMfLUk4ov8lETDQjqczj8XdMDXlvVri92210BayOlFcTJtIz6Y&#10;casR2hd6DlYxKpmElRS75DLgeLgO/ezTgyLVapVgNIhOhDv75GQkj12Nsnzevwh0g3YDqf4exnkU&#10;izcS7rHR08JqG0A3Sd/Hvg79piFOwhkenPhKvD4n1PFZXP4CAAD//wMAUEsDBBQABgAIAAAAIQAM&#10;kJ7k4QAAAAkBAAAPAAAAZHJzL2Rvd25yZXYueG1sTI/BTsMwEETvSPyDtUhcEHUaV0BCNhUgIXHh&#10;QKmqHt3YxFZjO4rdJOXrWU5wXO1o5r1qPbuOjXqINniE5SIDpn0TlPUtwvbz9fYBWEzSK9kFrxHO&#10;OsK6vryoZKnC5D/0uEktoxIfS4lgUupLzmNjtJNxEXrt6fcVBicTnUPL1SAnKncdz7PsjjtpPS0Y&#10;2esXo5vj5uQQ3s9CvI034jhtrWjtN98/70xAvL6anx6BJT2nvzD84hM61MR0CCevIusQ7ouCXBJC&#10;LkiBAkWRL4EdEFarHHhd8f8G9Q8AAAD//wMAUEsBAi0AFAAGAAgAAAAhALaDOJL+AAAA4QEAABMA&#10;AAAAAAAAAAAAAAAAAAAAAFtDb250ZW50X1R5cGVzXS54bWxQSwECLQAUAAYACAAAACEAOP0h/9YA&#10;AACUAQAACwAAAAAAAAAAAAAAAAAvAQAAX3JlbHMvLnJlbHNQSwECLQAUAAYACAAAACEAIIAPt30C&#10;AABeBQAADgAAAAAAAAAAAAAAAAAuAgAAZHJzL2Uyb0RvYy54bWxQSwECLQAUAAYACAAAACEADJCe&#10;5OEAAAAJAQAADwAAAAAAAAAAAAAAAADXBAAAZHJzL2Rvd25yZXYueG1sUEsFBgAAAAAEAAQA8wAA&#10;AOUFAAAAAA==&#10;" fillcolor="white [3212]" stroked="f" strokeweight="1pt"/>
          </w:pict>
        </mc:Fallback>
      </mc:AlternateContent>
    </w:r>
    <w:r>
      <w:rPr>
        <w:noProof/>
      </w:rPr>
      <mc:AlternateContent>
        <mc:Choice Requires="wps">
          <w:drawing>
            <wp:anchor distT="0" distB="0" distL="114300" distR="114300" simplePos="0" relativeHeight="251643904" behindDoc="0" locked="0" layoutInCell="1" allowOverlap="1" wp14:anchorId="2C265DDE" wp14:editId="56EBDF05">
              <wp:simplePos x="0" y="0"/>
              <wp:positionH relativeFrom="column">
                <wp:posOffset>-534670</wp:posOffset>
              </wp:positionH>
              <wp:positionV relativeFrom="paragraph">
                <wp:posOffset>2429510</wp:posOffset>
              </wp:positionV>
              <wp:extent cx="396240" cy="205740"/>
              <wp:effectExtent l="0" t="0" r="3810" b="3810"/>
              <wp:wrapNone/>
              <wp:docPr id="2" name="Rectangle 2"/>
              <wp:cNvGraphicFramePr/>
              <a:graphic xmlns:a="http://schemas.openxmlformats.org/drawingml/2006/main">
                <a:graphicData uri="http://schemas.microsoft.com/office/word/2010/wordprocessingShape">
                  <wps:wsp>
                    <wps:cNvSpPr/>
                    <wps:spPr>
                      <a:xfrm>
                        <a:off x="0" y="0"/>
                        <a:ext cx="396240" cy="205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BAA19" id="Rectangle 2" o:spid="_x0000_s1026" style="position:absolute;margin-left:-42.1pt;margin-top:191.3pt;width:31.2pt;height:16.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60eQ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54uz6Qwp5aialqfnKCNKcXS2zoevAloShYo6vItEEdvd+pBN&#10;B5MYy4NW9Y3SOm3i/YuVdmTH8ObWm0kP/puVNtHWQPTKgPGkOFaSpHDQItpp8ygkUTXmPk2JpCY7&#10;BmGcCxMmWdWwWuTYpyV+Q/QhrVRoAozIEuOP2D3AYJlBBuycZW8fXUXq0dG5/Fti2Xn0SJHBhNG5&#10;VQbcewAaq+ojZ/uBpExNZGkN9eHBEQd5QrzlNwqv7Zb58MAcjgTeNI55uMdFaugqCr1ESQPu53vn&#10;0R47FbWUdDhiFfU/tswJSvQ3gz18MZnFBgppMzs9n+LGvdasX2vMtl0B9sIEHxTLkxjtgx5E6aB9&#10;wddgGaOiihmOsSvKgxs2q5BHH98TLpbLZIZzaFm4NU+WR/DIamzL5/0Lc7bv3YBNfwfDOLL5mxbO&#10;ttHTwHIbQKrU30dee75xhlPj9O9NfCRe75PV8VVc/AIAAP//AwBQSwMEFAAGAAgAAAAhAJW5t+ri&#10;AAAACwEAAA8AAABkcnMvZG93bnJldi54bWxMj8tOwzAQRfdI/IM1SGxQ6jxKFYU4FSAhsWFBqRBL&#10;Nx5iq/E4it0k5esxK7oczdG959bbxfZswtEbRwKyVQoMqXXKUCdg//GSlMB8kKRk7wgFnNHDtrm+&#10;qmWl3EzvOO1Cx2II+UoK0CEMFee+1WilX7kBKf6+3WhliOfYcTXKOYbbnudpuuFWGooNWg74rLE9&#10;7k5WwNu5KF6nu+I4703RmR/+9fSpnRC3N8vjA7CAS/iH4U8/qkMTnQ7uRMqzXkBSrvOICijKfAMs&#10;EkmexTEHAevsPgXe1PxyQ/MLAAD//wMAUEsBAi0AFAAGAAgAAAAhALaDOJL+AAAA4QEAABMAAAAA&#10;AAAAAAAAAAAAAAAAAFtDb250ZW50X1R5cGVzXS54bWxQSwECLQAUAAYACAAAACEAOP0h/9YAAACU&#10;AQAACwAAAAAAAAAAAAAAAAAvAQAAX3JlbHMvLnJlbHNQSwECLQAUAAYACAAAACEAJcIOtHkCAABd&#10;BQAADgAAAAAAAAAAAAAAAAAuAgAAZHJzL2Uyb0RvYy54bWxQSwECLQAUAAYACAAAACEAlbm36uIA&#10;AAALAQAADwAAAAAAAAAAAAAAAADTBAAAZHJzL2Rvd25yZXYueG1sUEsFBgAAAAAEAAQA8wAAAOIF&#10;A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6EB1"/>
    <w:multiLevelType w:val="hybridMultilevel"/>
    <w:tmpl w:val="F4945E5E"/>
    <w:lvl w:ilvl="0" w:tplc="4EAC9D26">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3B1CFD"/>
    <w:multiLevelType w:val="hybridMultilevel"/>
    <w:tmpl w:val="E8EEA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D950B3E"/>
    <w:multiLevelType w:val="hybridMultilevel"/>
    <w:tmpl w:val="1B968B30"/>
    <w:lvl w:ilvl="0" w:tplc="D4FA2106">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CAC5CD5"/>
    <w:multiLevelType w:val="hybridMultilevel"/>
    <w:tmpl w:val="AEE63E86"/>
    <w:lvl w:ilvl="0" w:tplc="C22812C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DD64077"/>
    <w:multiLevelType w:val="hybridMultilevel"/>
    <w:tmpl w:val="96B41EB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F54AC8"/>
    <w:multiLevelType w:val="hybridMultilevel"/>
    <w:tmpl w:val="45846074"/>
    <w:lvl w:ilvl="0" w:tplc="1FBE4192">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36188450">
    <w:abstractNumId w:val="1"/>
  </w:num>
  <w:num w:numId="2" w16cid:durableId="150567471">
    <w:abstractNumId w:val="2"/>
  </w:num>
  <w:num w:numId="3" w16cid:durableId="848519353">
    <w:abstractNumId w:val="0"/>
  </w:num>
  <w:num w:numId="4" w16cid:durableId="1766878833">
    <w:abstractNumId w:val="5"/>
  </w:num>
  <w:num w:numId="5" w16cid:durableId="1160148558">
    <w:abstractNumId w:val="3"/>
  </w:num>
  <w:num w:numId="6" w16cid:durableId="1624312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71"/>
    <w:rsid w:val="002C5581"/>
    <w:rsid w:val="003B28BE"/>
    <w:rsid w:val="00472F74"/>
    <w:rsid w:val="00597B71"/>
    <w:rsid w:val="009416A2"/>
    <w:rsid w:val="009A4AC5"/>
    <w:rsid w:val="009E04DF"/>
    <w:rsid w:val="00AE7C09"/>
    <w:rsid w:val="00D17CE1"/>
    <w:rsid w:val="00E05DE2"/>
    <w:rsid w:val="00FE1A3E"/>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EFF0"/>
  <w15:chartTrackingRefBased/>
  <w15:docId w15:val="{E90B37A6-B601-44D2-8939-78C921E3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B71"/>
    <w:pPr>
      <w:spacing w:after="0" w:line="240" w:lineRule="auto"/>
    </w:pPr>
    <w:rPr>
      <w:rFonts w:ascii="Times New Roman" w:eastAsia="Times New Roman" w:hAnsi="Times New Roman" w:cs="Times New Roman"/>
      <w:sz w:val="20"/>
      <w:szCs w:val="20"/>
      <w:lang w:eastAsia="de-DE"/>
      <w14:ligatures w14:val="none"/>
    </w:rPr>
  </w:style>
  <w:style w:type="paragraph" w:styleId="Heading3">
    <w:name w:val="heading 3"/>
    <w:basedOn w:val="Normal"/>
    <w:next w:val="Normal"/>
    <w:link w:val="Heading3Char"/>
    <w:qFormat/>
    <w:rsid w:val="00597B71"/>
    <w:pPr>
      <w:keepNext/>
      <w:spacing w:after="480" w:line="260" w:lineRule="exact"/>
      <w:outlineLvl w:val="2"/>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7B71"/>
    <w:rPr>
      <w:rFonts w:ascii="Optima" w:eastAsia="Times New Roman" w:hAnsi="Optima" w:cs="Times New Roman"/>
      <w:b/>
      <w:sz w:val="24"/>
      <w:szCs w:val="20"/>
      <w:lang w:eastAsia="de-DE"/>
      <w14:ligatures w14:val="none"/>
    </w:rPr>
  </w:style>
  <w:style w:type="paragraph" w:styleId="Header">
    <w:name w:val="header"/>
    <w:basedOn w:val="Normal"/>
    <w:link w:val="HeaderChar"/>
    <w:uiPriority w:val="99"/>
    <w:unhideWhenUsed/>
    <w:rsid w:val="00597B71"/>
    <w:pPr>
      <w:tabs>
        <w:tab w:val="center" w:pos="4536"/>
        <w:tab w:val="right" w:pos="9072"/>
      </w:tabs>
    </w:pPr>
  </w:style>
  <w:style w:type="character" w:customStyle="1" w:styleId="HeaderChar">
    <w:name w:val="Header Char"/>
    <w:basedOn w:val="DefaultParagraphFont"/>
    <w:link w:val="Header"/>
    <w:uiPriority w:val="99"/>
    <w:rsid w:val="00597B71"/>
    <w:rPr>
      <w:rFonts w:ascii="Times New Roman" w:eastAsia="Times New Roman" w:hAnsi="Times New Roman" w:cs="Times New Roman"/>
      <w:sz w:val="20"/>
      <w:szCs w:val="20"/>
      <w:lang w:eastAsia="de-DE"/>
      <w14:ligatures w14:val="none"/>
    </w:rPr>
  </w:style>
  <w:style w:type="paragraph" w:styleId="Footer">
    <w:name w:val="footer"/>
    <w:basedOn w:val="Normal"/>
    <w:link w:val="FooterChar"/>
    <w:uiPriority w:val="99"/>
    <w:unhideWhenUsed/>
    <w:rsid w:val="00597B71"/>
    <w:pPr>
      <w:tabs>
        <w:tab w:val="center" w:pos="4536"/>
        <w:tab w:val="right" w:pos="9072"/>
      </w:tabs>
    </w:pPr>
  </w:style>
  <w:style w:type="character" w:customStyle="1" w:styleId="FooterChar">
    <w:name w:val="Footer Char"/>
    <w:basedOn w:val="DefaultParagraphFont"/>
    <w:link w:val="Footer"/>
    <w:uiPriority w:val="99"/>
    <w:rsid w:val="00597B71"/>
    <w:rPr>
      <w:rFonts w:ascii="Times New Roman" w:eastAsia="Times New Roman" w:hAnsi="Times New Roman" w:cs="Times New Roman"/>
      <w:sz w:val="20"/>
      <w:szCs w:val="20"/>
      <w:lang w:eastAsia="de-DE"/>
      <w14:ligatures w14:val="none"/>
    </w:rPr>
  </w:style>
  <w:style w:type="character" w:styleId="Hyperlink">
    <w:name w:val="Hyperlink"/>
    <w:basedOn w:val="DefaultParagraphFont"/>
    <w:uiPriority w:val="99"/>
    <w:unhideWhenUsed/>
    <w:rsid w:val="00597B71"/>
    <w:rPr>
      <w:color w:val="0563C1" w:themeColor="hyperlink"/>
      <w:u w:val="single"/>
    </w:rPr>
  </w:style>
  <w:style w:type="paragraph" w:styleId="ListParagraph">
    <w:name w:val="List Paragraph"/>
    <w:basedOn w:val="Normal"/>
    <w:uiPriority w:val="34"/>
    <w:qFormat/>
    <w:rsid w:val="00597B71"/>
    <w:pPr>
      <w:ind w:left="720"/>
      <w:contextualSpacing/>
    </w:pPr>
  </w:style>
  <w:style w:type="table" w:styleId="TableGrid">
    <w:name w:val="Table Grid"/>
    <w:basedOn w:val="TableNormal"/>
    <w:uiPriority w:val="39"/>
    <w:rsid w:val="00597B71"/>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5581"/>
    <w:rPr>
      <w:color w:val="605E5C"/>
      <w:shd w:val="clear" w:color="auto" w:fill="E1DFDD"/>
    </w:rPr>
  </w:style>
  <w:style w:type="paragraph" w:styleId="FootnoteText">
    <w:name w:val="footnote text"/>
    <w:basedOn w:val="Normal"/>
    <w:link w:val="FootnoteTextChar"/>
    <w:uiPriority w:val="99"/>
    <w:semiHidden/>
    <w:unhideWhenUsed/>
    <w:rsid w:val="009416A2"/>
  </w:style>
  <w:style w:type="character" w:customStyle="1" w:styleId="FootnoteTextChar">
    <w:name w:val="Footnote Text Char"/>
    <w:basedOn w:val="DefaultParagraphFont"/>
    <w:link w:val="FootnoteText"/>
    <w:uiPriority w:val="99"/>
    <w:semiHidden/>
    <w:rsid w:val="009416A2"/>
    <w:rPr>
      <w:rFonts w:ascii="Times New Roman" w:eastAsia="Times New Roman" w:hAnsi="Times New Roman" w:cs="Times New Roman"/>
      <w:sz w:val="20"/>
      <w:szCs w:val="20"/>
      <w:lang w:eastAsia="de-DE"/>
      <w14:ligatures w14:val="none"/>
    </w:rPr>
  </w:style>
  <w:style w:type="character" w:styleId="FootnoteReference">
    <w:name w:val="footnote reference"/>
    <w:basedOn w:val="DefaultParagraphFont"/>
    <w:uiPriority w:val="99"/>
    <w:semiHidden/>
    <w:unhideWhenUsed/>
    <w:rsid w:val="009416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k.at/statistiken/volkswirtschaft-und-oeffentliche-finanzen/preise-und-preisindizes/verbraucherpreisindex-vpi/hvp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office@mlm-medtech.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B0A9-5FC9-47B4-B26D-E08E3369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11528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Gloeckler</dc:creator>
  <cp:keywords/>
  <dc:description/>
  <cp:lastModifiedBy>Martin Gloeckler</cp:lastModifiedBy>
  <cp:revision>6</cp:revision>
  <dcterms:created xsi:type="dcterms:W3CDTF">2024-01-22T09:39:00Z</dcterms:created>
  <dcterms:modified xsi:type="dcterms:W3CDTF">2024-03-19T16:26:00Z</dcterms:modified>
</cp:coreProperties>
</file>